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393E7A" w:rsidRDefault="007766DD" w:rsidP="00EB38E6">
      <w:pPr>
        <w:jc w:val="center"/>
        <w:rPr>
          <w:lang w:val="en-GB"/>
        </w:rPr>
      </w:pPr>
      <w:bookmarkStart w:id="0" w:name="_GoBack"/>
      <w:bookmarkEnd w:id="0"/>
      <w:r w:rsidRPr="00393E7A">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B11113" w:rsidRDefault="002B26D6" w:rsidP="00CE3CAC">
      <w:pPr>
        <w:autoSpaceDE w:val="0"/>
        <w:ind w:left="720" w:firstLine="720"/>
        <w:jc w:val="center"/>
        <w:rPr>
          <w:b/>
          <w:bCs/>
          <w:highlight w:val="yellow"/>
          <w:lang w:val="en-GB"/>
        </w:rPr>
      </w:pPr>
    </w:p>
    <w:p w:rsidR="000F7E70" w:rsidRPr="00393E7A" w:rsidRDefault="000F7E70" w:rsidP="00EB38E6">
      <w:pPr>
        <w:autoSpaceDE w:val="0"/>
        <w:ind w:hanging="11"/>
        <w:jc w:val="center"/>
        <w:rPr>
          <w:b/>
          <w:bCs/>
          <w:lang w:val="en-GB"/>
        </w:rPr>
      </w:pPr>
      <w:r w:rsidRPr="00B11113">
        <w:rPr>
          <w:b/>
          <w:bCs/>
          <w:lang w:val="en-GB"/>
        </w:rPr>
        <w:t>OPINION</w:t>
      </w:r>
    </w:p>
    <w:p w:rsidR="00393E7A" w:rsidRDefault="00393E7A" w:rsidP="000F7E70">
      <w:pPr>
        <w:autoSpaceDE w:val="0"/>
        <w:jc w:val="both"/>
        <w:rPr>
          <w:b/>
          <w:bCs/>
          <w:lang w:val="en-GB"/>
        </w:rPr>
      </w:pPr>
    </w:p>
    <w:p w:rsidR="000F7E70" w:rsidRPr="00393E7A" w:rsidRDefault="000F7E70" w:rsidP="000F7E70">
      <w:pPr>
        <w:autoSpaceDE w:val="0"/>
        <w:jc w:val="both"/>
        <w:rPr>
          <w:b/>
          <w:bCs/>
          <w:lang w:val="en-GB"/>
        </w:rPr>
      </w:pPr>
      <w:r w:rsidRPr="00393E7A">
        <w:rPr>
          <w:b/>
          <w:bCs/>
          <w:lang w:val="en-GB"/>
        </w:rPr>
        <w:t xml:space="preserve">Date of adoption: </w:t>
      </w:r>
      <w:r w:rsidR="00CE3CAC">
        <w:rPr>
          <w:b/>
          <w:bCs/>
          <w:lang w:val="en-GB"/>
        </w:rPr>
        <w:t>21</w:t>
      </w:r>
      <w:r w:rsidRPr="00393E7A">
        <w:rPr>
          <w:b/>
          <w:bCs/>
          <w:lang w:val="en-GB"/>
        </w:rPr>
        <w:t xml:space="preserve"> </w:t>
      </w:r>
      <w:r w:rsidR="00B11113">
        <w:rPr>
          <w:b/>
          <w:bCs/>
          <w:lang w:val="en-GB"/>
        </w:rPr>
        <w:t>January</w:t>
      </w:r>
      <w:r w:rsidR="00CE17B7" w:rsidRPr="00393E7A">
        <w:rPr>
          <w:b/>
          <w:bCs/>
          <w:lang w:val="en-GB"/>
        </w:rPr>
        <w:t xml:space="preserve"> </w:t>
      </w:r>
      <w:r w:rsidRPr="00393E7A">
        <w:rPr>
          <w:b/>
          <w:bCs/>
          <w:lang w:val="en-GB"/>
        </w:rPr>
        <w:t>20</w:t>
      </w:r>
      <w:r w:rsidR="00C905F1" w:rsidRPr="00393E7A">
        <w:rPr>
          <w:b/>
          <w:bCs/>
          <w:lang w:val="en-GB"/>
        </w:rPr>
        <w:t>1</w:t>
      </w:r>
      <w:r w:rsidR="00B11113">
        <w:rPr>
          <w:b/>
          <w:bCs/>
          <w:lang w:val="en-GB"/>
        </w:rPr>
        <w:t>5</w:t>
      </w:r>
    </w:p>
    <w:p w:rsidR="00E327E1" w:rsidRPr="00393E7A" w:rsidRDefault="00E327E1" w:rsidP="000F7E70">
      <w:pPr>
        <w:autoSpaceDE w:val="0"/>
        <w:jc w:val="both"/>
        <w:rPr>
          <w:b/>
          <w:bCs/>
          <w:lang w:val="en-GB"/>
        </w:rPr>
      </w:pPr>
    </w:p>
    <w:p w:rsidR="00CC7126" w:rsidRPr="00393E7A" w:rsidRDefault="00CC7126" w:rsidP="00CC7126">
      <w:pPr>
        <w:autoSpaceDE w:val="0"/>
        <w:autoSpaceDN w:val="0"/>
        <w:adjustRightInd w:val="0"/>
        <w:jc w:val="both"/>
        <w:rPr>
          <w:b/>
          <w:bCs/>
        </w:rPr>
      </w:pPr>
      <w:r w:rsidRPr="00393E7A">
        <w:rPr>
          <w:b/>
          <w:bCs/>
        </w:rPr>
        <w:t>Case No. 2</w:t>
      </w:r>
      <w:r w:rsidR="00B11113">
        <w:rPr>
          <w:b/>
          <w:bCs/>
        </w:rPr>
        <w:t>6</w:t>
      </w:r>
      <w:r w:rsidRPr="00393E7A">
        <w:rPr>
          <w:b/>
          <w:bCs/>
        </w:rPr>
        <w:t>2/09</w:t>
      </w:r>
    </w:p>
    <w:p w:rsidR="00B11113" w:rsidRDefault="00B11113" w:rsidP="00B11113">
      <w:pPr>
        <w:autoSpaceDE w:val="0"/>
        <w:autoSpaceDN w:val="0"/>
        <w:adjustRightInd w:val="0"/>
        <w:jc w:val="both"/>
        <w:rPr>
          <w:b/>
          <w:bCs/>
          <w:lang w:val="en-GB"/>
        </w:rPr>
      </w:pPr>
    </w:p>
    <w:p w:rsidR="00B11113" w:rsidRDefault="00B11113" w:rsidP="00B11113">
      <w:pPr>
        <w:autoSpaceDE w:val="0"/>
        <w:autoSpaceDN w:val="0"/>
        <w:adjustRightInd w:val="0"/>
        <w:jc w:val="both"/>
        <w:rPr>
          <w:b/>
          <w:bCs/>
          <w:lang w:val="en-GB"/>
        </w:rPr>
      </w:pPr>
      <w:proofErr w:type="spellStart"/>
      <w:r>
        <w:rPr>
          <w:b/>
          <w:bCs/>
          <w:lang w:val="en-GB"/>
        </w:rPr>
        <w:t>Biljana</w:t>
      </w:r>
      <w:proofErr w:type="spellEnd"/>
      <w:r>
        <w:rPr>
          <w:b/>
          <w:bCs/>
          <w:lang w:val="en-GB"/>
        </w:rPr>
        <w:t xml:space="preserve"> KUZMANOVIĆ</w:t>
      </w:r>
    </w:p>
    <w:p w:rsidR="002D428F" w:rsidRPr="00393E7A" w:rsidRDefault="002D428F" w:rsidP="002D428F">
      <w:pPr>
        <w:autoSpaceDE w:val="0"/>
        <w:autoSpaceDN w:val="0"/>
        <w:adjustRightInd w:val="0"/>
        <w:jc w:val="both"/>
        <w:rPr>
          <w:b/>
          <w:bCs/>
          <w:lang w:val="en-GB"/>
        </w:rPr>
      </w:pPr>
    </w:p>
    <w:p w:rsidR="002D428F" w:rsidRPr="00393E7A" w:rsidRDefault="002D428F" w:rsidP="002D428F">
      <w:pPr>
        <w:autoSpaceDE w:val="0"/>
        <w:autoSpaceDN w:val="0"/>
        <w:adjustRightInd w:val="0"/>
        <w:jc w:val="both"/>
        <w:rPr>
          <w:b/>
          <w:bCs/>
          <w:lang w:val="en-GB"/>
        </w:rPr>
      </w:pPr>
      <w:proofErr w:type="gramStart"/>
      <w:r w:rsidRPr="00393E7A">
        <w:rPr>
          <w:b/>
          <w:bCs/>
          <w:lang w:val="en-GB"/>
        </w:rPr>
        <w:t>against</w:t>
      </w:r>
      <w:proofErr w:type="gramEnd"/>
    </w:p>
    <w:p w:rsidR="002D428F" w:rsidRPr="00393E7A" w:rsidRDefault="002D428F" w:rsidP="002D428F">
      <w:pPr>
        <w:autoSpaceDE w:val="0"/>
        <w:autoSpaceDN w:val="0"/>
        <w:adjustRightInd w:val="0"/>
        <w:jc w:val="both"/>
        <w:rPr>
          <w:b/>
          <w:bCs/>
          <w:lang w:val="en-GB"/>
        </w:rPr>
      </w:pPr>
    </w:p>
    <w:p w:rsidR="002D428F" w:rsidRPr="00393E7A" w:rsidRDefault="002D428F" w:rsidP="002D428F">
      <w:pPr>
        <w:autoSpaceDE w:val="0"/>
        <w:autoSpaceDN w:val="0"/>
        <w:adjustRightInd w:val="0"/>
        <w:jc w:val="both"/>
        <w:rPr>
          <w:b/>
          <w:bCs/>
          <w:lang w:val="en-GB"/>
        </w:rPr>
      </w:pPr>
      <w:r w:rsidRPr="00393E7A">
        <w:rPr>
          <w:b/>
          <w:bCs/>
          <w:lang w:val="en-GB"/>
        </w:rPr>
        <w:t xml:space="preserve">UNMIK </w:t>
      </w:r>
    </w:p>
    <w:p w:rsidR="00E07C8C" w:rsidRPr="00393E7A" w:rsidRDefault="00E07C8C" w:rsidP="000F7E70">
      <w:pPr>
        <w:autoSpaceDE w:val="0"/>
        <w:jc w:val="both"/>
        <w:rPr>
          <w:b/>
          <w:bCs/>
          <w:lang w:val="en-GB"/>
        </w:rPr>
      </w:pPr>
    </w:p>
    <w:p w:rsidR="004202B2" w:rsidRPr="00393E7A" w:rsidRDefault="004202B2" w:rsidP="000F7E70">
      <w:pPr>
        <w:autoSpaceDE w:val="0"/>
        <w:jc w:val="both"/>
        <w:rPr>
          <w:b/>
          <w:bCs/>
          <w:lang w:val="en-GB"/>
        </w:rPr>
      </w:pPr>
    </w:p>
    <w:p w:rsidR="002D428F" w:rsidRPr="00393E7A" w:rsidRDefault="002D428F" w:rsidP="002D428F">
      <w:pPr>
        <w:autoSpaceDE w:val="0"/>
        <w:jc w:val="both"/>
      </w:pPr>
      <w:r w:rsidRPr="00393E7A">
        <w:t xml:space="preserve">The Human </w:t>
      </w:r>
      <w:r w:rsidRPr="00CE3CAC">
        <w:t xml:space="preserve">Rights Advisory Panel, </w:t>
      </w:r>
      <w:r w:rsidR="00385EAF" w:rsidRPr="00CE3CAC">
        <w:t xml:space="preserve">sitting </w:t>
      </w:r>
      <w:r w:rsidRPr="00CE3CAC">
        <w:t xml:space="preserve">on </w:t>
      </w:r>
      <w:r w:rsidR="00CE3CAC" w:rsidRPr="00CE3CAC">
        <w:t>21</w:t>
      </w:r>
      <w:r w:rsidR="00B11113" w:rsidRPr="00CE3CAC">
        <w:t xml:space="preserve"> January 2015</w:t>
      </w:r>
      <w:r w:rsidRPr="00CE3CAC">
        <w:t>,</w:t>
      </w:r>
    </w:p>
    <w:p w:rsidR="002D428F" w:rsidRPr="00393E7A" w:rsidRDefault="002D428F" w:rsidP="002D428F">
      <w:pPr>
        <w:autoSpaceDE w:val="0"/>
        <w:jc w:val="both"/>
      </w:pPr>
      <w:proofErr w:type="gramStart"/>
      <w:r w:rsidRPr="00393E7A">
        <w:t>with</w:t>
      </w:r>
      <w:proofErr w:type="gramEnd"/>
      <w:r w:rsidRPr="00393E7A">
        <w:t xml:space="preserve"> the following members </w:t>
      </w:r>
      <w:r w:rsidR="00385EAF" w:rsidRPr="00393E7A">
        <w:t>present</w:t>
      </w:r>
      <w:r w:rsidRPr="00393E7A">
        <w:t>:</w:t>
      </w:r>
    </w:p>
    <w:p w:rsidR="002D428F" w:rsidRPr="00393E7A" w:rsidRDefault="002D428F" w:rsidP="002D428F">
      <w:pPr>
        <w:autoSpaceDE w:val="0"/>
        <w:jc w:val="both"/>
      </w:pPr>
    </w:p>
    <w:p w:rsidR="002D428F" w:rsidRPr="00393E7A" w:rsidRDefault="002D428F" w:rsidP="002D428F">
      <w:pPr>
        <w:autoSpaceDE w:val="0"/>
        <w:jc w:val="both"/>
      </w:pPr>
      <w:r w:rsidRPr="00393E7A">
        <w:t>Marek Nowicki, Presiding Member</w:t>
      </w:r>
    </w:p>
    <w:p w:rsidR="002D428F" w:rsidRPr="00393E7A" w:rsidRDefault="002D428F" w:rsidP="002D428F">
      <w:pPr>
        <w:autoSpaceDE w:val="0"/>
        <w:jc w:val="both"/>
      </w:pPr>
      <w:r w:rsidRPr="00393E7A">
        <w:t>Christine Chinkin</w:t>
      </w:r>
    </w:p>
    <w:p w:rsidR="002D428F" w:rsidRPr="00393E7A" w:rsidRDefault="002D428F" w:rsidP="002D428F">
      <w:pPr>
        <w:autoSpaceDE w:val="0"/>
        <w:jc w:val="both"/>
        <w:rPr>
          <w:color w:val="FF0000"/>
        </w:rPr>
      </w:pPr>
      <w:r w:rsidRPr="00393E7A">
        <w:t>Françoise Tulkens</w:t>
      </w:r>
    </w:p>
    <w:p w:rsidR="002D428F" w:rsidRPr="00393E7A" w:rsidRDefault="002D428F" w:rsidP="002D428F">
      <w:pPr>
        <w:autoSpaceDE w:val="0"/>
        <w:jc w:val="both"/>
      </w:pPr>
    </w:p>
    <w:p w:rsidR="002D428F" w:rsidRPr="00393E7A" w:rsidRDefault="002D428F" w:rsidP="002D428F">
      <w:pPr>
        <w:autoSpaceDE w:val="0"/>
        <w:jc w:val="both"/>
      </w:pPr>
      <w:r w:rsidRPr="00393E7A">
        <w:t>Assisted by</w:t>
      </w:r>
    </w:p>
    <w:p w:rsidR="002D428F" w:rsidRPr="00393E7A" w:rsidRDefault="002D428F" w:rsidP="002D428F">
      <w:pPr>
        <w:autoSpaceDE w:val="0"/>
        <w:jc w:val="both"/>
      </w:pPr>
    </w:p>
    <w:p w:rsidR="002D428F" w:rsidRPr="00393E7A" w:rsidRDefault="002D428F" w:rsidP="002D428F">
      <w:pPr>
        <w:autoSpaceDE w:val="0"/>
        <w:jc w:val="both"/>
      </w:pPr>
      <w:r w:rsidRPr="00393E7A">
        <w:t>Andrey Antonov, Executive Officer</w:t>
      </w:r>
    </w:p>
    <w:p w:rsidR="002D428F" w:rsidRPr="00393E7A" w:rsidRDefault="002D428F" w:rsidP="002D428F">
      <w:pPr>
        <w:autoSpaceDE w:val="0"/>
        <w:jc w:val="both"/>
      </w:pPr>
    </w:p>
    <w:p w:rsidR="002D428F" w:rsidRPr="00393E7A" w:rsidRDefault="002D428F" w:rsidP="002D428F">
      <w:pPr>
        <w:autoSpaceDE w:val="0"/>
        <w:jc w:val="both"/>
      </w:pPr>
    </w:p>
    <w:p w:rsidR="002D428F" w:rsidRPr="00393E7A" w:rsidRDefault="002D428F" w:rsidP="002D428F">
      <w:pPr>
        <w:autoSpaceDE w:val="0"/>
        <w:jc w:val="both"/>
      </w:pPr>
      <w:r w:rsidRPr="00393E7A">
        <w:t>Having consider</w:t>
      </w:r>
      <w:r w:rsidR="00E60683" w:rsidRPr="00393E7A">
        <w:t>ed the aforementioned complaint</w:t>
      </w:r>
      <w:r w:rsidRPr="00393E7A">
        <w:t>, introduced pursuant to Section 1.2 of UNMIK Regulation No. 2006/12 of 23 March 2006 on the establishment of the Human Rights Advisory Panel,</w:t>
      </w:r>
    </w:p>
    <w:p w:rsidR="002D428F" w:rsidRPr="00393E7A" w:rsidRDefault="002D428F" w:rsidP="002D428F">
      <w:pPr>
        <w:autoSpaceDE w:val="0"/>
        <w:jc w:val="both"/>
      </w:pPr>
    </w:p>
    <w:p w:rsidR="002D428F" w:rsidRPr="00393E7A" w:rsidRDefault="00385EAF" w:rsidP="002D428F">
      <w:pPr>
        <w:autoSpaceDE w:val="0"/>
        <w:jc w:val="both"/>
      </w:pPr>
      <w:r w:rsidRPr="00393E7A">
        <w:t xml:space="preserve">Having </w:t>
      </w:r>
      <w:proofErr w:type="gramStart"/>
      <w:r w:rsidRPr="00393E7A">
        <w:t>deliberated,</w:t>
      </w:r>
      <w:proofErr w:type="gramEnd"/>
      <w:r w:rsidRPr="00393E7A">
        <w:t xml:space="preserve"> </w:t>
      </w:r>
      <w:r w:rsidR="002D428F" w:rsidRPr="00393E7A">
        <w:t>makes the following findings and recommendations:</w:t>
      </w:r>
    </w:p>
    <w:p w:rsidR="00EC2041" w:rsidRPr="00393E7A" w:rsidRDefault="00EC2041" w:rsidP="00301DAC">
      <w:pPr>
        <w:autoSpaceDE w:val="0"/>
        <w:jc w:val="both"/>
        <w:rPr>
          <w:lang w:val="en-GB"/>
        </w:rPr>
      </w:pPr>
    </w:p>
    <w:p w:rsidR="00022E69" w:rsidRPr="00393E7A" w:rsidRDefault="00022E69" w:rsidP="000F7E70">
      <w:pPr>
        <w:autoSpaceDE w:val="0"/>
        <w:jc w:val="both"/>
        <w:rPr>
          <w:lang w:val="en-GB"/>
        </w:rPr>
      </w:pPr>
    </w:p>
    <w:p w:rsidR="0016154E" w:rsidRPr="00CE3CAC" w:rsidRDefault="0016154E" w:rsidP="00B50188">
      <w:pPr>
        <w:numPr>
          <w:ilvl w:val="0"/>
          <w:numId w:val="1"/>
        </w:numPr>
        <w:suppressAutoHyphens/>
        <w:autoSpaceDE w:val="0"/>
        <w:ind w:left="360" w:hanging="360"/>
        <w:jc w:val="both"/>
        <w:rPr>
          <w:b/>
          <w:bCs/>
          <w:lang w:val="en-GB"/>
        </w:rPr>
      </w:pPr>
      <w:r w:rsidRPr="00CE3CAC">
        <w:rPr>
          <w:b/>
          <w:bCs/>
          <w:lang w:val="en-GB"/>
        </w:rPr>
        <w:t>PROCEEDINGS BEFORE THE PANEL</w:t>
      </w:r>
    </w:p>
    <w:p w:rsidR="00E327E1" w:rsidRPr="00CE3CAC" w:rsidRDefault="00E327E1" w:rsidP="00E327E1">
      <w:pPr>
        <w:pStyle w:val="Default"/>
        <w:ind w:left="360"/>
        <w:jc w:val="both"/>
        <w:rPr>
          <w:color w:val="auto"/>
          <w:lang w:val="en-GB"/>
        </w:rPr>
      </w:pPr>
    </w:p>
    <w:p w:rsidR="00647FB1" w:rsidRPr="00CE3CAC" w:rsidRDefault="00647FB1" w:rsidP="00647FB1">
      <w:pPr>
        <w:pStyle w:val="Default"/>
        <w:numPr>
          <w:ilvl w:val="0"/>
          <w:numId w:val="2"/>
        </w:numPr>
        <w:jc w:val="both"/>
        <w:rPr>
          <w:lang w:val="en-GB"/>
        </w:rPr>
      </w:pPr>
      <w:r w:rsidRPr="00CE3CAC">
        <w:rPr>
          <w:lang w:val="en-GB"/>
        </w:rPr>
        <w:t>The complaint</w:t>
      </w:r>
      <w:r w:rsidR="009D27AD" w:rsidRPr="00CE3CAC">
        <w:rPr>
          <w:lang w:val="en-GB"/>
        </w:rPr>
        <w:t xml:space="preserve"> was introduced </w:t>
      </w:r>
      <w:r w:rsidR="00B11113" w:rsidRPr="00CE3CAC">
        <w:rPr>
          <w:lang w:val="en-GB"/>
        </w:rPr>
        <w:t>on 6</w:t>
      </w:r>
      <w:r w:rsidR="00DD03C6" w:rsidRPr="00CE3CAC">
        <w:rPr>
          <w:lang w:val="en-GB"/>
        </w:rPr>
        <w:t xml:space="preserve"> April 2009 and registered on 30 April 2009</w:t>
      </w:r>
      <w:r w:rsidRPr="00CE3CAC">
        <w:rPr>
          <w:lang w:val="en-GB"/>
        </w:rPr>
        <w:t xml:space="preserve">. </w:t>
      </w:r>
    </w:p>
    <w:p w:rsidR="00647FB1" w:rsidRPr="00CE3CAC" w:rsidRDefault="00647FB1" w:rsidP="00C45577">
      <w:pPr>
        <w:pStyle w:val="Default"/>
        <w:jc w:val="both"/>
        <w:rPr>
          <w:lang w:val="en-GB"/>
        </w:rPr>
      </w:pPr>
    </w:p>
    <w:p w:rsidR="00B11113" w:rsidRPr="00CE3CAC" w:rsidRDefault="00B11113" w:rsidP="00B11113">
      <w:pPr>
        <w:pStyle w:val="Default"/>
        <w:numPr>
          <w:ilvl w:val="0"/>
          <w:numId w:val="2"/>
        </w:numPr>
        <w:jc w:val="both"/>
        <w:rPr>
          <w:lang w:val="en-GB"/>
        </w:rPr>
      </w:pPr>
      <w:r w:rsidRPr="00CE3CAC">
        <w:rPr>
          <w:lang w:val="en-GB"/>
        </w:rPr>
        <w:lastRenderedPageBreak/>
        <w:t>On 23 December 2009, the Panel requested further information from the complainant. No response was received.</w:t>
      </w:r>
    </w:p>
    <w:p w:rsidR="00CD6312" w:rsidRPr="00CE3CAC" w:rsidRDefault="00CD6312" w:rsidP="00CD6312">
      <w:pPr>
        <w:pStyle w:val="Default"/>
        <w:ind w:left="360"/>
        <w:jc w:val="both"/>
        <w:rPr>
          <w:lang w:val="en-GB"/>
        </w:rPr>
      </w:pPr>
    </w:p>
    <w:p w:rsidR="00CD6312" w:rsidRPr="00CE3CAC" w:rsidRDefault="00CD6312" w:rsidP="00CD6312">
      <w:pPr>
        <w:pStyle w:val="Default"/>
        <w:numPr>
          <w:ilvl w:val="0"/>
          <w:numId w:val="2"/>
        </w:numPr>
        <w:jc w:val="both"/>
        <w:rPr>
          <w:lang w:val="en-GB"/>
        </w:rPr>
      </w:pPr>
      <w:r w:rsidRPr="00CE3CAC">
        <w:rPr>
          <w:lang w:val="en-GB"/>
        </w:rPr>
        <w:t xml:space="preserve">On 24 November 2010, the Panel repeated its request for further information to the complainant. However, no response was received. </w:t>
      </w:r>
    </w:p>
    <w:p w:rsidR="002E0AF3" w:rsidRPr="00CE3CAC" w:rsidRDefault="002E0AF3" w:rsidP="00CD6312">
      <w:pPr>
        <w:pStyle w:val="Default"/>
        <w:jc w:val="both"/>
        <w:rPr>
          <w:lang w:val="en-GB"/>
        </w:rPr>
      </w:pPr>
    </w:p>
    <w:p w:rsidR="002E0AF3" w:rsidRPr="00CE3CAC" w:rsidRDefault="009D27AD" w:rsidP="00284A77">
      <w:pPr>
        <w:numPr>
          <w:ilvl w:val="0"/>
          <w:numId w:val="2"/>
        </w:numPr>
        <w:jc w:val="both"/>
        <w:rPr>
          <w:b/>
          <w:lang w:val="en-GB"/>
        </w:rPr>
      </w:pPr>
      <w:r w:rsidRPr="00CE3CAC">
        <w:rPr>
          <w:lang w:val="en-GB"/>
        </w:rPr>
        <w:t xml:space="preserve">On </w:t>
      </w:r>
      <w:r w:rsidR="00622236" w:rsidRPr="00CE3CAC">
        <w:rPr>
          <w:lang w:val="en-GB"/>
        </w:rPr>
        <w:t>2</w:t>
      </w:r>
      <w:r w:rsidR="00CD6312" w:rsidRPr="00CE3CAC">
        <w:rPr>
          <w:lang w:val="en-GB"/>
        </w:rPr>
        <w:t>3 September</w:t>
      </w:r>
      <w:r w:rsidR="00DD03C6" w:rsidRPr="00CE3CAC">
        <w:rPr>
          <w:lang w:val="en-GB"/>
        </w:rPr>
        <w:t xml:space="preserve"> </w:t>
      </w:r>
      <w:r w:rsidR="002948A6" w:rsidRPr="00CE3CAC">
        <w:rPr>
          <w:lang w:val="en-GB"/>
        </w:rPr>
        <w:t>2011</w:t>
      </w:r>
      <w:r w:rsidR="002E0AF3" w:rsidRPr="00CE3CAC">
        <w:rPr>
          <w:lang w:val="en-GB"/>
        </w:rPr>
        <w:t>, the complaint was communicated to the Special Representative of the Secretary-General (SRSG)</w:t>
      </w:r>
      <w:r w:rsidR="00022E69" w:rsidRPr="00CE3CAC">
        <w:rPr>
          <w:rStyle w:val="FootnoteReference"/>
          <w:lang w:val="en-GB"/>
        </w:rPr>
        <w:footnoteReference w:id="1"/>
      </w:r>
      <w:r w:rsidR="002E0AF3" w:rsidRPr="00CE3CAC">
        <w:rPr>
          <w:lang w:val="en-GB"/>
        </w:rPr>
        <w:t>, for UNMIK’s comments on</w:t>
      </w:r>
      <w:r w:rsidR="00035673" w:rsidRPr="00CE3CAC">
        <w:rPr>
          <w:lang w:val="en-GB"/>
        </w:rPr>
        <w:t xml:space="preserve"> its </w:t>
      </w:r>
      <w:r w:rsidR="002E0AF3" w:rsidRPr="00CE3CAC">
        <w:rPr>
          <w:lang w:val="en-GB"/>
        </w:rPr>
        <w:t>admi</w:t>
      </w:r>
      <w:r w:rsidR="00035673" w:rsidRPr="00CE3CAC">
        <w:rPr>
          <w:lang w:val="en-GB"/>
        </w:rPr>
        <w:t>ssibility</w:t>
      </w:r>
      <w:r w:rsidR="00647FB1" w:rsidRPr="00CE3CAC">
        <w:rPr>
          <w:lang w:val="en-GB"/>
        </w:rPr>
        <w:t xml:space="preserve">. </w:t>
      </w:r>
    </w:p>
    <w:p w:rsidR="00CD6312" w:rsidRPr="00CE3CAC" w:rsidRDefault="00CD6312" w:rsidP="00CD6312">
      <w:pPr>
        <w:pStyle w:val="ListParagraph"/>
        <w:rPr>
          <w:b/>
          <w:lang w:val="en-GB"/>
        </w:rPr>
      </w:pPr>
    </w:p>
    <w:p w:rsidR="00CD6312" w:rsidRPr="00CE3CAC" w:rsidRDefault="00CD6312" w:rsidP="00CD6312">
      <w:pPr>
        <w:pStyle w:val="Default"/>
        <w:numPr>
          <w:ilvl w:val="0"/>
          <w:numId w:val="2"/>
        </w:numPr>
        <w:jc w:val="both"/>
        <w:rPr>
          <w:lang w:val="en-GB"/>
        </w:rPr>
      </w:pPr>
      <w:r w:rsidRPr="00CE3CAC">
        <w:rPr>
          <w:lang w:val="en-GB"/>
        </w:rPr>
        <w:t xml:space="preserve">On 28 September 2011, the Panel again requested further information from the complainant. </w:t>
      </w:r>
    </w:p>
    <w:p w:rsidR="00CD6312" w:rsidRPr="00CE3CAC" w:rsidRDefault="00CD6312" w:rsidP="00CD6312">
      <w:pPr>
        <w:pStyle w:val="ListParagraph"/>
        <w:rPr>
          <w:lang w:val="en-GB"/>
        </w:rPr>
      </w:pPr>
    </w:p>
    <w:p w:rsidR="00CD6312" w:rsidRPr="00CE3CAC" w:rsidRDefault="00CD6312" w:rsidP="00CD6312">
      <w:pPr>
        <w:pStyle w:val="Default"/>
        <w:numPr>
          <w:ilvl w:val="0"/>
          <w:numId w:val="2"/>
        </w:numPr>
        <w:jc w:val="both"/>
        <w:rPr>
          <w:lang w:val="en-GB"/>
        </w:rPr>
      </w:pPr>
      <w:r w:rsidRPr="00CE3CAC">
        <w:rPr>
          <w:lang w:val="en-GB"/>
        </w:rPr>
        <w:t>On 8 November 2011, the SRSG provided UNMIK’s response.</w:t>
      </w:r>
    </w:p>
    <w:p w:rsidR="00CD6312" w:rsidRPr="00CE3CAC" w:rsidRDefault="00CD6312" w:rsidP="00CD6312">
      <w:pPr>
        <w:pStyle w:val="ListParagraph"/>
        <w:rPr>
          <w:lang w:val="en-GB"/>
        </w:rPr>
      </w:pPr>
    </w:p>
    <w:p w:rsidR="00CD6312" w:rsidRPr="00CE3CAC" w:rsidRDefault="00CD6312" w:rsidP="00CD6312">
      <w:pPr>
        <w:pStyle w:val="Default"/>
        <w:numPr>
          <w:ilvl w:val="0"/>
          <w:numId w:val="2"/>
        </w:numPr>
        <w:jc w:val="both"/>
        <w:rPr>
          <w:lang w:val="en-GB"/>
        </w:rPr>
      </w:pPr>
      <w:r w:rsidRPr="00CE3CAC">
        <w:rPr>
          <w:lang w:val="en-GB"/>
        </w:rPr>
        <w:t xml:space="preserve">On 20 December 2011, additional information was received from the complainant. </w:t>
      </w:r>
    </w:p>
    <w:p w:rsidR="00E327E1" w:rsidRPr="00CE3CAC" w:rsidRDefault="00E327E1" w:rsidP="00647FB1">
      <w:pPr>
        <w:rPr>
          <w:lang w:val="en-GB"/>
        </w:rPr>
      </w:pPr>
    </w:p>
    <w:p w:rsidR="00360A49" w:rsidRPr="00CE3CAC" w:rsidRDefault="00E327E1" w:rsidP="00360A49">
      <w:pPr>
        <w:numPr>
          <w:ilvl w:val="0"/>
          <w:numId w:val="2"/>
        </w:numPr>
        <w:jc w:val="both"/>
        <w:rPr>
          <w:b/>
          <w:lang w:val="en-GB"/>
        </w:rPr>
      </w:pPr>
      <w:r w:rsidRPr="00CE3CAC">
        <w:rPr>
          <w:lang w:val="en-GB"/>
        </w:rPr>
        <w:t xml:space="preserve">On </w:t>
      </w:r>
      <w:r w:rsidR="00A62C6D" w:rsidRPr="00CE3CAC">
        <w:rPr>
          <w:lang w:val="en-GB"/>
        </w:rPr>
        <w:t>26</w:t>
      </w:r>
      <w:r w:rsidR="002948A6" w:rsidRPr="00CE3CAC">
        <w:rPr>
          <w:lang w:val="en-GB"/>
        </w:rPr>
        <w:t xml:space="preserve"> </w:t>
      </w:r>
      <w:r w:rsidR="00CD6312" w:rsidRPr="00CE3CAC">
        <w:rPr>
          <w:lang w:val="en-GB"/>
        </w:rPr>
        <w:t>Septe</w:t>
      </w:r>
      <w:r w:rsidR="00A62C6D" w:rsidRPr="00CE3CAC">
        <w:rPr>
          <w:lang w:val="en-GB"/>
        </w:rPr>
        <w:t>mber</w:t>
      </w:r>
      <w:r w:rsidR="00622236" w:rsidRPr="00CE3CAC">
        <w:rPr>
          <w:lang w:val="en-GB"/>
        </w:rPr>
        <w:t xml:space="preserve"> </w:t>
      </w:r>
      <w:r w:rsidRPr="00CE3CAC">
        <w:rPr>
          <w:lang w:val="en-GB"/>
        </w:rPr>
        <w:t>201</w:t>
      </w:r>
      <w:r w:rsidR="00CD6312" w:rsidRPr="00CE3CAC">
        <w:rPr>
          <w:lang w:val="en-GB"/>
        </w:rPr>
        <w:t>2</w:t>
      </w:r>
      <w:r w:rsidRPr="00CE3CAC">
        <w:rPr>
          <w:lang w:val="en-GB"/>
        </w:rPr>
        <w:t>, t</w:t>
      </w:r>
      <w:r w:rsidR="007766DD" w:rsidRPr="00CE3CAC">
        <w:rPr>
          <w:lang w:val="en-GB"/>
        </w:rPr>
        <w:t>he Panel declared the complaint</w:t>
      </w:r>
      <w:r w:rsidRPr="00CE3CAC">
        <w:rPr>
          <w:lang w:val="en-GB"/>
        </w:rPr>
        <w:t xml:space="preserve"> admissible</w:t>
      </w:r>
      <w:r w:rsidR="004865D9" w:rsidRPr="00CE3CAC">
        <w:t>.</w:t>
      </w:r>
    </w:p>
    <w:p w:rsidR="00E327E1" w:rsidRPr="00CE3CAC" w:rsidRDefault="00E327E1" w:rsidP="00E327E1">
      <w:pPr>
        <w:pStyle w:val="Default"/>
        <w:ind w:left="360"/>
        <w:jc w:val="both"/>
        <w:rPr>
          <w:color w:val="auto"/>
          <w:lang w:val="en-GB"/>
        </w:rPr>
      </w:pPr>
    </w:p>
    <w:p w:rsidR="00672847" w:rsidRPr="00CE3CAC" w:rsidRDefault="00F855B3" w:rsidP="00622236">
      <w:pPr>
        <w:widowControl w:val="0"/>
        <w:numPr>
          <w:ilvl w:val="0"/>
          <w:numId w:val="2"/>
        </w:numPr>
        <w:tabs>
          <w:tab w:val="left" w:pos="1080"/>
        </w:tabs>
        <w:suppressAutoHyphens/>
        <w:jc w:val="both"/>
        <w:rPr>
          <w:lang w:val="en-GB"/>
        </w:rPr>
      </w:pPr>
      <w:r w:rsidRPr="00CE3CAC">
        <w:rPr>
          <w:lang w:val="en-GB"/>
        </w:rPr>
        <w:t xml:space="preserve">On </w:t>
      </w:r>
      <w:r w:rsidR="00A62C6D" w:rsidRPr="00CE3CAC">
        <w:rPr>
          <w:lang w:val="en-GB"/>
        </w:rPr>
        <w:t>8</w:t>
      </w:r>
      <w:r w:rsidR="00ED668C" w:rsidRPr="00CE3CAC">
        <w:rPr>
          <w:lang w:val="en-GB"/>
        </w:rPr>
        <w:t xml:space="preserve"> </w:t>
      </w:r>
      <w:r w:rsidR="00360A49" w:rsidRPr="00CE3CAC">
        <w:rPr>
          <w:lang w:val="en-GB"/>
        </w:rPr>
        <w:t>October</w:t>
      </w:r>
      <w:r w:rsidR="00810D7A" w:rsidRPr="00CE3CAC">
        <w:rPr>
          <w:lang w:val="en-GB"/>
        </w:rPr>
        <w:t xml:space="preserve"> 2012</w:t>
      </w:r>
      <w:r w:rsidR="00E327E1" w:rsidRPr="00CE3CAC">
        <w:rPr>
          <w:lang w:val="en-GB"/>
        </w:rPr>
        <w:t xml:space="preserve">, </w:t>
      </w:r>
      <w:r w:rsidRPr="00CE3CAC">
        <w:rPr>
          <w:lang w:val="en-GB"/>
        </w:rPr>
        <w:t>the Panel forwarded its decision</w:t>
      </w:r>
      <w:r w:rsidR="00035673" w:rsidRPr="00CE3CAC">
        <w:rPr>
          <w:lang w:val="en-GB"/>
        </w:rPr>
        <w:t xml:space="preserve"> on admissibility</w:t>
      </w:r>
      <w:r w:rsidRPr="00CE3CAC">
        <w:rPr>
          <w:lang w:val="en-GB"/>
        </w:rPr>
        <w:t xml:space="preserve"> to the SRSG requesting UNMIK’s comments on the merits of the complaint</w:t>
      </w:r>
      <w:r w:rsidR="00672847" w:rsidRPr="00CE3CAC">
        <w:rPr>
          <w:lang w:val="en-GB"/>
        </w:rPr>
        <w:t>, as well as copies of the investigative files relevant to the case.</w:t>
      </w:r>
      <w:r w:rsidR="00810D7A" w:rsidRPr="00CE3CAC">
        <w:rPr>
          <w:lang w:val="en-GB"/>
        </w:rPr>
        <w:t xml:space="preserve"> On 15 March 2013</w:t>
      </w:r>
      <w:r w:rsidR="002948A6" w:rsidRPr="00CE3CAC">
        <w:rPr>
          <w:lang w:val="en-GB"/>
        </w:rPr>
        <w:t xml:space="preserve">, </w:t>
      </w:r>
      <w:r w:rsidR="00CC6B19" w:rsidRPr="00CE3CAC">
        <w:rPr>
          <w:lang w:val="en-GB"/>
        </w:rPr>
        <w:t>the SRSG provided UNMIK’s comments</w:t>
      </w:r>
      <w:r w:rsidR="009F6CF5" w:rsidRPr="00CE3CAC">
        <w:rPr>
          <w:lang w:val="en-GB"/>
        </w:rPr>
        <w:t xml:space="preserve"> on the merits of the </w:t>
      </w:r>
      <w:r w:rsidR="00672847" w:rsidRPr="00CE3CAC">
        <w:rPr>
          <w:lang w:val="en-GB"/>
        </w:rPr>
        <w:t xml:space="preserve">complaint, </w:t>
      </w:r>
      <w:r w:rsidR="0098749A" w:rsidRPr="00CE3CAC">
        <w:rPr>
          <w:lang w:val="en-GB"/>
        </w:rPr>
        <w:t xml:space="preserve">together with </w:t>
      </w:r>
      <w:r w:rsidR="002948A6" w:rsidRPr="00CE3CAC">
        <w:rPr>
          <w:lang w:val="en-GB"/>
        </w:rPr>
        <w:t>copies of</w:t>
      </w:r>
      <w:r w:rsidR="00954A3E" w:rsidRPr="00CE3CAC">
        <w:rPr>
          <w:lang w:val="en-GB"/>
        </w:rPr>
        <w:t xml:space="preserve"> the</w:t>
      </w:r>
      <w:r w:rsidR="002948A6" w:rsidRPr="00CE3CAC">
        <w:rPr>
          <w:lang w:val="en-GB"/>
        </w:rPr>
        <w:t xml:space="preserve"> investigative files</w:t>
      </w:r>
      <w:r w:rsidR="00CC6B19" w:rsidRPr="00CE3CAC">
        <w:rPr>
          <w:lang w:val="en-GB"/>
        </w:rPr>
        <w:t>.</w:t>
      </w:r>
    </w:p>
    <w:p w:rsidR="00CE1F33" w:rsidRPr="00CE3CAC" w:rsidRDefault="00CE1F33" w:rsidP="00CE1F33">
      <w:pPr>
        <w:pStyle w:val="ListParagraph"/>
        <w:rPr>
          <w:lang w:val="en-GB"/>
        </w:rPr>
      </w:pPr>
    </w:p>
    <w:p w:rsidR="00CE1F33" w:rsidRPr="00CE3CAC" w:rsidRDefault="00647FB1" w:rsidP="00B50188">
      <w:pPr>
        <w:pStyle w:val="Default"/>
        <w:numPr>
          <w:ilvl w:val="0"/>
          <w:numId w:val="2"/>
        </w:numPr>
        <w:jc w:val="both"/>
        <w:rPr>
          <w:color w:val="auto"/>
          <w:lang w:val="en-GB"/>
        </w:rPr>
      </w:pPr>
      <w:bookmarkStart w:id="1" w:name="_Ref373944367"/>
      <w:r w:rsidRPr="00CE3CAC">
        <w:rPr>
          <w:color w:val="auto"/>
          <w:lang w:val="en-GB"/>
        </w:rPr>
        <w:t xml:space="preserve">On </w:t>
      </w:r>
      <w:r w:rsidR="00810D7A" w:rsidRPr="00CE3CAC">
        <w:rPr>
          <w:color w:val="auto"/>
          <w:lang w:val="en-GB"/>
        </w:rPr>
        <w:t>12 January</w:t>
      </w:r>
      <w:r w:rsidR="00EF14C3" w:rsidRPr="00CE3CAC">
        <w:rPr>
          <w:color w:val="auto"/>
          <w:lang w:val="en-GB"/>
        </w:rPr>
        <w:t xml:space="preserve"> </w:t>
      </w:r>
      <w:r w:rsidR="00810D7A" w:rsidRPr="00CE3CAC">
        <w:rPr>
          <w:color w:val="auto"/>
          <w:lang w:val="en-GB"/>
        </w:rPr>
        <w:t>2015</w:t>
      </w:r>
      <w:r w:rsidR="00CE1F33" w:rsidRPr="00CE3CAC">
        <w:rPr>
          <w:color w:val="auto"/>
          <w:lang w:val="en-GB"/>
        </w:rPr>
        <w:t>, the Pa</w:t>
      </w:r>
      <w:r w:rsidR="00764FB4" w:rsidRPr="00CE3CAC">
        <w:rPr>
          <w:color w:val="auto"/>
          <w:lang w:val="en-GB"/>
        </w:rPr>
        <w:t>nel requested UNMIK to confirm i</w:t>
      </w:r>
      <w:r w:rsidR="00CE1F33" w:rsidRPr="00CE3CAC">
        <w:rPr>
          <w:color w:val="auto"/>
          <w:lang w:val="en-GB"/>
        </w:rPr>
        <w:t>f the disclosure of files concerning the case could be considered final.</w:t>
      </w:r>
      <w:r w:rsidR="00121E9E" w:rsidRPr="00CE3CAC">
        <w:rPr>
          <w:color w:val="auto"/>
          <w:lang w:val="en-GB"/>
        </w:rPr>
        <w:t xml:space="preserve"> </w:t>
      </w:r>
      <w:bookmarkStart w:id="2" w:name="_Ref368060542"/>
      <w:r w:rsidR="00810D7A" w:rsidRPr="00CE3CAC">
        <w:rPr>
          <w:color w:val="auto"/>
          <w:lang w:val="en-GB"/>
        </w:rPr>
        <w:t xml:space="preserve">On </w:t>
      </w:r>
      <w:r w:rsidR="0080746A" w:rsidRPr="00CE3CAC">
        <w:rPr>
          <w:color w:val="auto"/>
          <w:lang w:val="en-GB"/>
        </w:rPr>
        <w:t>13</w:t>
      </w:r>
      <w:r w:rsidR="00810D7A" w:rsidRPr="00CE3CAC">
        <w:rPr>
          <w:color w:val="auto"/>
          <w:lang w:val="en-GB"/>
        </w:rPr>
        <w:t xml:space="preserve"> January</w:t>
      </w:r>
      <w:r w:rsidR="00E84691" w:rsidRPr="00CE3CAC">
        <w:rPr>
          <w:color w:val="auto"/>
          <w:lang w:val="en-GB"/>
        </w:rPr>
        <w:t xml:space="preserve"> </w:t>
      </w:r>
      <w:r w:rsidR="00810D7A" w:rsidRPr="00CE3CAC">
        <w:rPr>
          <w:color w:val="auto"/>
          <w:lang w:val="en-GB"/>
        </w:rPr>
        <w:t>2015</w:t>
      </w:r>
      <w:r w:rsidR="00CE1F33" w:rsidRPr="00CE3CAC">
        <w:rPr>
          <w:color w:val="auto"/>
          <w:lang w:val="en-GB"/>
        </w:rPr>
        <w:t>, UNMIK provided its response</w:t>
      </w:r>
      <w:bookmarkEnd w:id="1"/>
      <w:bookmarkEnd w:id="2"/>
      <w:r w:rsidR="002948A6" w:rsidRPr="00CE3CAC">
        <w:rPr>
          <w:color w:val="auto"/>
          <w:lang w:val="en-GB"/>
        </w:rPr>
        <w:t>.</w:t>
      </w:r>
    </w:p>
    <w:p w:rsidR="00121E9E" w:rsidRPr="00393E7A" w:rsidRDefault="00121E9E" w:rsidP="001F3C32">
      <w:pPr>
        <w:rPr>
          <w:lang w:val="en-GB"/>
        </w:rPr>
      </w:pPr>
    </w:p>
    <w:p w:rsidR="00121E9E" w:rsidRPr="00393E7A" w:rsidRDefault="00121E9E" w:rsidP="008766C9">
      <w:pPr>
        <w:pStyle w:val="ListParagraph"/>
        <w:rPr>
          <w:lang w:val="en-GB"/>
        </w:rPr>
      </w:pPr>
    </w:p>
    <w:p w:rsidR="000F6E16" w:rsidRPr="00393E7A" w:rsidRDefault="007C65E0" w:rsidP="00B50188">
      <w:pPr>
        <w:numPr>
          <w:ilvl w:val="0"/>
          <w:numId w:val="1"/>
        </w:numPr>
        <w:suppressAutoHyphens/>
        <w:autoSpaceDE w:val="0"/>
        <w:ind w:left="360" w:hanging="360"/>
        <w:jc w:val="both"/>
        <w:rPr>
          <w:b/>
          <w:bCs/>
          <w:lang w:val="en-GB"/>
        </w:rPr>
      </w:pPr>
      <w:r w:rsidRPr="00393E7A">
        <w:rPr>
          <w:b/>
          <w:bCs/>
          <w:lang w:val="en-GB"/>
        </w:rPr>
        <w:t>THE FACTS</w:t>
      </w:r>
    </w:p>
    <w:p w:rsidR="000F6E16" w:rsidRPr="00393E7A" w:rsidRDefault="000F6E16" w:rsidP="000F6E16">
      <w:pPr>
        <w:suppressAutoHyphens/>
        <w:autoSpaceDE w:val="0"/>
        <w:ind w:left="360"/>
        <w:jc w:val="both"/>
        <w:rPr>
          <w:b/>
          <w:bCs/>
          <w:lang w:val="en-GB"/>
        </w:rPr>
      </w:pPr>
    </w:p>
    <w:p w:rsidR="00680EF0" w:rsidRPr="00393E7A" w:rsidRDefault="00680EF0" w:rsidP="00B50188">
      <w:pPr>
        <w:numPr>
          <w:ilvl w:val="0"/>
          <w:numId w:val="3"/>
        </w:numPr>
        <w:contextualSpacing/>
        <w:jc w:val="both"/>
        <w:rPr>
          <w:b/>
          <w:lang w:val="en-GB"/>
        </w:rPr>
      </w:pPr>
      <w:r w:rsidRPr="00393E7A">
        <w:rPr>
          <w:b/>
          <w:lang w:val="en-GB"/>
        </w:rPr>
        <w:t>General background</w:t>
      </w:r>
      <w:r w:rsidRPr="00393E7A">
        <w:rPr>
          <w:rStyle w:val="FootnoteReference"/>
          <w:b/>
          <w:lang w:val="en-GB"/>
        </w:rPr>
        <w:footnoteReference w:id="2"/>
      </w:r>
      <w:r w:rsidRPr="00393E7A">
        <w:rPr>
          <w:b/>
          <w:lang w:val="en-GB"/>
        </w:rPr>
        <w:t xml:space="preserve"> </w:t>
      </w:r>
    </w:p>
    <w:p w:rsidR="00680EF0" w:rsidRPr="00393E7A" w:rsidRDefault="00680EF0" w:rsidP="00680EF0">
      <w:pPr>
        <w:ind w:left="360"/>
        <w:contextualSpacing/>
        <w:jc w:val="both"/>
        <w:rPr>
          <w:b/>
          <w:lang w:val="en-GB"/>
        </w:rPr>
      </w:pPr>
    </w:p>
    <w:p w:rsidR="00574094" w:rsidRPr="00393E7A" w:rsidRDefault="00574094" w:rsidP="00574094">
      <w:pPr>
        <w:pStyle w:val="ListParagraph"/>
        <w:numPr>
          <w:ilvl w:val="0"/>
          <w:numId w:val="2"/>
        </w:numPr>
        <w:jc w:val="both"/>
        <w:rPr>
          <w:lang w:val="en-GB"/>
        </w:rPr>
      </w:pPr>
      <w:r w:rsidRPr="00393E7A">
        <w:rPr>
          <w:lang w:val="en-GB"/>
        </w:rPr>
        <w:t>The events at issue took place in the territory of Kosovo</w:t>
      </w:r>
      <w:r w:rsidR="002948A6" w:rsidRPr="00393E7A">
        <w:rPr>
          <w:lang w:val="en-GB"/>
        </w:rPr>
        <w:t xml:space="preserve"> </w:t>
      </w:r>
      <w:r w:rsidR="00622236" w:rsidRPr="00393E7A">
        <w:rPr>
          <w:lang w:val="en-GB"/>
        </w:rPr>
        <w:t>shortly</w:t>
      </w:r>
      <w:r w:rsidRPr="00393E7A">
        <w:rPr>
          <w:lang w:val="en-GB"/>
        </w:rPr>
        <w:t xml:space="preserve"> after the establishment in June 1999 of the United Nations Interim Administration Mission in Kosovo (UNMIK).</w:t>
      </w:r>
    </w:p>
    <w:p w:rsidR="00C75A82" w:rsidRPr="00393E7A" w:rsidRDefault="00C75A82" w:rsidP="00C75A82">
      <w:pPr>
        <w:tabs>
          <w:tab w:val="left" w:pos="360"/>
        </w:tabs>
        <w:ind w:left="360" w:hanging="360"/>
        <w:jc w:val="both"/>
        <w:rPr>
          <w:lang w:val="en-GB"/>
        </w:rPr>
      </w:pPr>
    </w:p>
    <w:p w:rsidR="00C75A82" w:rsidRPr="00393E7A" w:rsidRDefault="00C75A82" w:rsidP="00B50188">
      <w:pPr>
        <w:widowControl w:val="0"/>
        <w:numPr>
          <w:ilvl w:val="0"/>
          <w:numId w:val="2"/>
        </w:numPr>
        <w:tabs>
          <w:tab w:val="left" w:pos="1080"/>
        </w:tabs>
        <w:suppressAutoHyphens/>
        <w:jc w:val="both"/>
        <w:rPr>
          <w:lang w:val="en-GB"/>
        </w:rPr>
      </w:pPr>
      <w:r w:rsidRPr="00393E7A">
        <w:rPr>
          <w:lang w:val="en-GB"/>
        </w:rPr>
        <w:t xml:space="preserve">The armed conflict during 1998 and 1999 between the Serbian forces on one side and the Kosovo Liberation Army (KLA) and other Kosovo Albanian armed groups on the other is </w:t>
      </w:r>
      <w:r w:rsidRPr="00393E7A">
        <w:rPr>
          <w:lang w:val="en-GB"/>
        </w:rPr>
        <w:lastRenderedPageBreak/>
        <w:t>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393E7A" w:rsidRDefault="00C75A82" w:rsidP="00C75A82">
      <w:pPr>
        <w:tabs>
          <w:tab w:val="left" w:pos="360"/>
        </w:tabs>
        <w:ind w:left="360" w:hanging="360"/>
        <w:jc w:val="both"/>
        <w:rPr>
          <w:lang w:val="en-GB"/>
        </w:rPr>
      </w:pPr>
    </w:p>
    <w:p w:rsidR="00C75A82" w:rsidRPr="00393E7A" w:rsidRDefault="00FE0FB0" w:rsidP="00FE0FB0">
      <w:pPr>
        <w:pStyle w:val="ListParagraph"/>
        <w:numPr>
          <w:ilvl w:val="0"/>
          <w:numId w:val="2"/>
        </w:numPr>
        <w:suppressAutoHyphens w:val="0"/>
        <w:contextualSpacing/>
        <w:jc w:val="both"/>
        <w:rPr>
          <w:lang w:val="en-GB"/>
        </w:rPr>
      </w:pPr>
      <w:bookmarkStart w:id="3" w:name="_Ref373941473"/>
      <w:r w:rsidRPr="00393E7A">
        <w:rPr>
          <w:lang w:val="en-GB"/>
        </w:rPr>
        <w:t>O</w:t>
      </w:r>
      <w:r w:rsidR="00C75A82" w:rsidRPr="00393E7A">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393E7A" w:rsidRDefault="00C75A82" w:rsidP="00C75A82">
      <w:pPr>
        <w:tabs>
          <w:tab w:val="left" w:pos="360"/>
        </w:tabs>
        <w:ind w:left="360" w:hanging="360"/>
        <w:jc w:val="both"/>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w:t>
      </w:r>
      <w:r w:rsidRPr="00393E7A">
        <w:rPr>
          <w:lang w:val="en-GB"/>
        </w:rPr>
        <w:lastRenderedPageBreak/>
        <w:t>are listed as still missing by the International Committee of the Red Cross (ICRC) as of October 2012.</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r w:rsidRPr="00393E7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numPr>
          <w:ilvl w:val="0"/>
          <w:numId w:val="2"/>
        </w:numPr>
        <w:jc w:val="both"/>
        <w:rPr>
          <w:lang w:val="en-GB"/>
        </w:rPr>
      </w:pPr>
      <w:bookmarkStart w:id="4" w:name="_Ref346725038"/>
      <w:r w:rsidRPr="00393E7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5" w:name="_Ref346123767"/>
      <w:r w:rsidRPr="00393E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6" w:name="_Ref346725040"/>
      <w:r w:rsidRPr="00393E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393E7A">
        <w:rPr>
          <w:lang w:val="en-GB"/>
        </w:rPr>
        <w:t>persons</w:t>
      </w:r>
      <w:proofErr w:type="gramEnd"/>
      <w:r w:rsidRPr="00393E7A">
        <w:rPr>
          <w:lang w:val="en-GB"/>
        </w:rPr>
        <w:t xml:space="preserve"> cases in Kosovo. In May 2000, a Victim Recovery and Identification Commission (VRIC) chaired by UNMIK </w:t>
      </w:r>
      <w:proofErr w:type="gramStart"/>
      <w:r w:rsidRPr="00393E7A">
        <w:rPr>
          <w:lang w:val="en-GB"/>
        </w:rPr>
        <w:t>was</w:t>
      </w:r>
      <w:proofErr w:type="gramEnd"/>
      <w:r w:rsidRPr="00393E7A">
        <w:rPr>
          <w:lang w:val="en-GB"/>
        </w:rPr>
        <w:t xml:space="preserve"> created for the recovery, identification and disposition of mortal remains.</w:t>
      </w:r>
      <w:r w:rsidR="00423598" w:rsidRPr="00393E7A">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393E7A">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393E7A">
        <w:rPr>
          <w:lang w:val="en-GB"/>
        </w:rPr>
        <w:t>persons,</w:t>
      </w:r>
      <w:proofErr w:type="gramEnd"/>
      <w:r w:rsidRPr="00393E7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w:t>
      </w:r>
      <w:r w:rsidRPr="00393E7A">
        <w:rPr>
          <w:lang w:val="en-GB"/>
        </w:rPr>
        <w:lastRenderedPageBreak/>
        <w:t>in 2003, the identification of mortal remains was carried out by the ICMP through DNA testing.</w:t>
      </w:r>
      <w:bookmarkEnd w:id="6"/>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7" w:name="_Ref346123927"/>
      <w:r w:rsidRPr="00393E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393E7A" w:rsidRDefault="00C75A82" w:rsidP="00C75A82">
      <w:pPr>
        <w:pStyle w:val="ListParagraph"/>
        <w:tabs>
          <w:tab w:val="left" w:pos="360"/>
        </w:tabs>
        <w:ind w:left="360" w:hanging="360"/>
        <w:rPr>
          <w:lang w:val="en-GB"/>
        </w:rPr>
      </w:pPr>
    </w:p>
    <w:p w:rsidR="00680EF0" w:rsidRPr="00393E7A" w:rsidRDefault="00C75A82" w:rsidP="00B50188">
      <w:pPr>
        <w:numPr>
          <w:ilvl w:val="0"/>
          <w:numId w:val="2"/>
        </w:numPr>
        <w:jc w:val="both"/>
        <w:rPr>
          <w:lang w:val="en-GB"/>
        </w:rPr>
      </w:pPr>
      <w:bookmarkStart w:id="8" w:name="_Ref346123928"/>
      <w:r w:rsidRPr="00393E7A">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393E7A">
        <w:rPr>
          <w:lang w:val="en-GB"/>
        </w:rPr>
        <w:t xml:space="preserve">supposed to be </w:t>
      </w:r>
      <w:r w:rsidRPr="00393E7A">
        <w:rPr>
          <w:lang w:val="en-GB"/>
        </w:rPr>
        <w:t>handed over to EULEX.</w:t>
      </w:r>
      <w:bookmarkEnd w:id="8"/>
    </w:p>
    <w:p w:rsidR="00242881" w:rsidRPr="00393E7A" w:rsidRDefault="00242881" w:rsidP="00A73D67">
      <w:pPr>
        <w:ind w:left="360"/>
        <w:jc w:val="both"/>
        <w:rPr>
          <w:lang w:val="en-GB"/>
        </w:rPr>
      </w:pPr>
    </w:p>
    <w:p w:rsidR="002948A6" w:rsidRPr="00A4732A" w:rsidRDefault="00A73D67" w:rsidP="00D72ED5">
      <w:pPr>
        <w:pStyle w:val="ListParagraph"/>
        <w:numPr>
          <w:ilvl w:val="0"/>
          <w:numId w:val="3"/>
        </w:numPr>
        <w:autoSpaceDE w:val="0"/>
        <w:jc w:val="both"/>
        <w:rPr>
          <w:lang w:val="en-GB"/>
        </w:rPr>
      </w:pPr>
      <w:r w:rsidRPr="00A4732A">
        <w:rPr>
          <w:b/>
          <w:bCs/>
          <w:lang w:val="en-GB"/>
        </w:rPr>
        <w:t>Circumstances surrounding the</w:t>
      </w:r>
      <w:r w:rsidR="00622236" w:rsidRPr="00A4732A">
        <w:rPr>
          <w:b/>
          <w:bCs/>
          <w:lang w:val="en-GB"/>
        </w:rPr>
        <w:t xml:space="preserve"> </w:t>
      </w:r>
      <w:r w:rsidR="00954A3E" w:rsidRPr="00A4732A">
        <w:rPr>
          <w:b/>
          <w:bCs/>
          <w:lang w:val="en-GB"/>
        </w:rPr>
        <w:t>abduction</w:t>
      </w:r>
      <w:r w:rsidR="00622236" w:rsidRPr="00A4732A">
        <w:rPr>
          <w:b/>
          <w:bCs/>
          <w:lang w:val="en-GB"/>
        </w:rPr>
        <w:t xml:space="preserve"> and</w:t>
      </w:r>
      <w:r w:rsidR="00D72ED5" w:rsidRPr="00A4732A">
        <w:rPr>
          <w:b/>
          <w:bCs/>
          <w:lang w:val="en-GB"/>
        </w:rPr>
        <w:t xml:space="preserve"> killing </w:t>
      </w:r>
      <w:r w:rsidR="00CE1874" w:rsidRPr="00A4732A">
        <w:rPr>
          <w:b/>
          <w:bCs/>
          <w:lang w:val="en-GB"/>
        </w:rPr>
        <w:t xml:space="preserve">of Mr </w:t>
      </w:r>
      <w:proofErr w:type="spellStart"/>
      <w:r w:rsidR="00D72ED5" w:rsidRPr="00A4732A">
        <w:rPr>
          <w:b/>
          <w:bCs/>
          <w:lang w:val="en-GB"/>
        </w:rPr>
        <w:t>Ðorđe</w:t>
      </w:r>
      <w:proofErr w:type="spellEnd"/>
      <w:r w:rsidR="00D72ED5" w:rsidRPr="00A4732A">
        <w:rPr>
          <w:b/>
          <w:bCs/>
          <w:lang w:val="en-GB"/>
        </w:rPr>
        <w:t xml:space="preserve"> </w:t>
      </w:r>
      <w:proofErr w:type="spellStart"/>
      <w:r w:rsidR="00D72ED5" w:rsidRPr="00A4732A">
        <w:rPr>
          <w:b/>
          <w:bCs/>
          <w:lang w:val="en-GB"/>
        </w:rPr>
        <w:t>Kuzmanović</w:t>
      </w:r>
      <w:proofErr w:type="spellEnd"/>
    </w:p>
    <w:p w:rsidR="00810D7A" w:rsidRPr="00A4732A" w:rsidRDefault="00810D7A" w:rsidP="00810D7A">
      <w:pPr>
        <w:jc w:val="both"/>
        <w:rPr>
          <w:lang w:val="en-GB"/>
        </w:rPr>
      </w:pPr>
    </w:p>
    <w:p w:rsidR="00810D7A" w:rsidRPr="00A4732A" w:rsidRDefault="00810D7A" w:rsidP="00810D7A">
      <w:pPr>
        <w:numPr>
          <w:ilvl w:val="0"/>
          <w:numId w:val="2"/>
        </w:numPr>
        <w:jc w:val="both"/>
        <w:rPr>
          <w:lang w:val="en-GB"/>
        </w:rPr>
      </w:pPr>
      <w:r w:rsidRPr="00A4732A">
        <w:rPr>
          <w:lang w:val="en-GB"/>
        </w:rPr>
        <w:t xml:space="preserve">The complainant is the wife of Mr </w:t>
      </w:r>
      <w:proofErr w:type="spellStart"/>
      <w:r w:rsidRPr="00A4732A">
        <w:rPr>
          <w:lang w:val="en-GB"/>
        </w:rPr>
        <w:t>Ðorđe</w:t>
      </w:r>
      <w:proofErr w:type="spellEnd"/>
      <w:r w:rsidRPr="00A4732A">
        <w:rPr>
          <w:lang w:val="en-GB"/>
        </w:rPr>
        <w:t xml:space="preserve"> </w:t>
      </w:r>
      <w:proofErr w:type="spellStart"/>
      <w:r w:rsidRPr="00A4732A">
        <w:rPr>
          <w:lang w:val="en-GB"/>
        </w:rPr>
        <w:t>Kuzmanović</w:t>
      </w:r>
      <w:proofErr w:type="spellEnd"/>
      <w:r w:rsidRPr="00A4732A">
        <w:rPr>
          <w:lang w:val="en-GB"/>
        </w:rPr>
        <w:t xml:space="preserve">. </w:t>
      </w:r>
    </w:p>
    <w:p w:rsidR="00810D7A" w:rsidRPr="00A4732A" w:rsidRDefault="00810D7A" w:rsidP="00810D7A">
      <w:pPr>
        <w:ind w:left="360"/>
        <w:jc w:val="both"/>
        <w:rPr>
          <w:lang w:val="en-GB"/>
        </w:rPr>
      </w:pPr>
    </w:p>
    <w:p w:rsidR="00D72ED5" w:rsidRPr="00A4732A" w:rsidRDefault="00810D7A" w:rsidP="00810D7A">
      <w:pPr>
        <w:numPr>
          <w:ilvl w:val="0"/>
          <w:numId w:val="2"/>
        </w:numPr>
        <w:jc w:val="both"/>
        <w:rPr>
          <w:lang w:val="en-GB"/>
        </w:rPr>
      </w:pPr>
      <w:r w:rsidRPr="00A4732A">
        <w:rPr>
          <w:lang w:val="en-GB"/>
        </w:rPr>
        <w:t>The complainant states that</w:t>
      </w:r>
      <w:r w:rsidR="00D72ED5" w:rsidRPr="00A4732A">
        <w:rPr>
          <w:lang w:val="en-GB"/>
        </w:rPr>
        <w:t>, on 21 June 1999,</w:t>
      </w:r>
      <w:r w:rsidRPr="00A4732A">
        <w:rPr>
          <w:lang w:val="en-GB"/>
        </w:rPr>
        <w:t xml:space="preserve"> </w:t>
      </w:r>
      <w:r w:rsidR="00D72ED5" w:rsidRPr="00A4732A">
        <w:rPr>
          <w:lang w:val="en-GB"/>
        </w:rPr>
        <w:t>her</w:t>
      </w:r>
      <w:r w:rsidR="004311D9" w:rsidRPr="00A4732A">
        <w:rPr>
          <w:lang w:val="en-GB"/>
        </w:rPr>
        <w:t xml:space="preserve"> husband was abducted by members of the KLA from their</w:t>
      </w:r>
      <w:r w:rsidR="00D72ED5" w:rsidRPr="00A4732A">
        <w:rPr>
          <w:lang w:val="en-GB"/>
        </w:rPr>
        <w:t xml:space="preserve"> family house in Gjakovё/Ðakovica</w:t>
      </w:r>
      <w:r w:rsidR="000E66F9" w:rsidRPr="00A4732A">
        <w:rPr>
          <w:lang w:val="en-GB"/>
        </w:rPr>
        <w:t>. He was not seen alive again.</w:t>
      </w:r>
      <w:r w:rsidR="00D72ED5" w:rsidRPr="00A4732A">
        <w:rPr>
          <w:lang w:val="en-GB"/>
        </w:rPr>
        <w:t xml:space="preserve"> </w:t>
      </w:r>
    </w:p>
    <w:p w:rsidR="00D72ED5" w:rsidRPr="00A4732A" w:rsidRDefault="00D72ED5" w:rsidP="00D72ED5">
      <w:pPr>
        <w:pStyle w:val="ListParagraph"/>
        <w:rPr>
          <w:lang w:val="en-GB"/>
        </w:rPr>
      </w:pPr>
    </w:p>
    <w:p w:rsidR="00B71C9E" w:rsidRPr="00A4732A" w:rsidRDefault="00D72ED5" w:rsidP="00A80C08">
      <w:pPr>
        <w:numPr>
          <w:ilvl w:val="0"/>
          <w:numId w:val="2"/>
        </w:numPr>
        <w:jc w:val="both"/>
        <w:rPr>
          <w:lang w:val="en-GB"/>
        </w:rPr>
      </w:pPr>
      <w:r w:rsidRPr="00A4732A">
        <w:rPr>
          <w:lang w:val="en-GB"/>
        </w:rPr>
        <w:t>In her submission</w:t>
      </w:r>
      <w:r w:rsidR="00F610DB" w:rsidRPr="00A4732A">
        <w:rPr>
          <w:lang w:val="en-GB"/>
        </w:rPr>
        <w:t xml:space="preserve"> to the Panel of</w:t>
      </w:r>
      <w:r w:rsidRPr="00A4732A">
        <w:rPr>
          <w:lang w:val="en-GB"/>
        </w:rPr>
        <w:t xml:space="preserve"> December 20</w:t>
      </w:r>
      <w:r w:rsidR="00F610DB" w:rsidRPr="00A4732A">
        <w:rPr>
          <w:lang w:val="en-GB"/>
        </w:rPr>
        <w:t>1</w:t>
      </w:r>
      <w:r w:rsidRPr="00A4732A">
        <w:rPr>
          <w:lang w:val="en-GB"/>
        </w:rPr>
        <w:t xml:space="preserve">1, the complainant relates the account of her husband’s abduction as given by Mr </w:t>
      </w:r>
      <w:proofErr w:type="spellStart"/>
      <w:r w:rsidRPr="00A4732A">
        <w:rPr>
          <w:lang w:val="en-GB"/>
        </w:rPr>
        <w:t>Ðorđe</w:t>
      </w:r>
      <w:proofErr w:type="spellEnd"/>
      <w:r w:rsidRPr="00A4732A">
        <w:rPr>
          <w:lang w:val="en-GB"/>
        </w:rPr>
        <w:t xml:space="preserve"> </w:t>
      </w:r>
      <w:proofErr w:type="spellStart"/>
      <w:r w:rsidRPr="00A4732A">
        <w:rPr>
          <w:lang w:val="en-GB"/>
        </w:rPr>
        <w:t>Kuzmanović’s</w:t>
      </w:r>
      <w:proofErr w:type="spellEnd"/>
      <w:r w:rsidRPr="00A4732A">
        <w:rPr>
          <w:lang w:val="en-GB"/>
        </w:rPr>
        <w:t xml:space="preserve"> mother</w:t>
      </w:r>
      <w:r w:rsidR="00F610DB" w:rsidRPr="00A4732A">
        <w:rPr>
          <w:lang w:val="en-GB"/>
        </w:rPr>
        <w:t>, Mrs L.K.,</w:t>
      </w:r>
      <w:r w:rsidRPr="00A4732A">
        <w:rPr>
          <w:lang w:val="en-GB"/>
        </w:rPr>
        <w:t xml:space="preserve"> and a</w:t>
      </w:r>
      <w:r w:rsidR="00B71C9E" w:rsidRPr="00A4732A">
        <w:rPr>
          <w:lang w:val="en-GB"/>
        </w:rPr>
        <w:t xml:space="preserve"> late</w:t>
      </w:r>
      <w:r w:rsidRPr="00A4732A">
        <w:rPr>
          <w:lang w:val="en-GB"/>
        </w:rPr>
        <w:t xml:space="preserve"> neighbour, </w:t>
      </w:r>
      <w:r w:rsidR="000E66F9" w:rsidRPr="00A4732A">
        <w:rPr>
          <w:lang w:val="en-GB"/>
        </w:rPr>
        <w:t xml:space="preserve">Mr </w:t>
      </w:r>
      <w:r w:rsidRPr="00A4732A">
        <w:rPr>
          <w:lang w:val="en-GB"/>
        </w:rPr>
        <w:t xml:space="preserve">V.S., who was </w:t>
      </w:r>
      <w:r w:rsidR="000E66F9" w:rsidRPr="00A4732A">
        <w:rPr>
          <w:lang w:val="en-GB"/>
        </w:rPr>
        <w:t xml:space="preserve">kidnapped by the KLA and </w:t>
      </w:r>
      <w:r w:rsidR="00F610DB" w:rsidRPr="00A4732A">
        <w:rPr>
          <w:lang w:val="en-GB"/>
        </w:rPr>
        <w:t>detained in the same place as</w:t>
      </w:r>
      <w:r w:rsidRPr="00A4732A">
        <w:rPr>
          <w:lang w:val="en-GB"/>
        </w:rPr>
        <w:t xml:space="preserve"> Mr </w:t>
      </w:r>
      <w:proofErr w:type="spellStart"/>
      <w:r w:rsidRPr="00A4732A">
        <w:rPr>
          <w:lang w:val="en-GB"/>
        </w:rPr>
        <w:t>Ðorđe</w:t>
      </w:r>
      <w:proofErr w:type="spellEnd"/>
      <w:r w:rsidRPr="00A4732A">
        <w:rPr>
          <w:lang w:val="en-GB"/>
        </w:rPr>
        <w:t xml:space="preserve"> </w:t>
      </w:r>
      <w:proofErr w:type="spellStart"/>
      <w:r w:rsidRPr="00A4732A">
        <w:rPr>
          <w:lang w:val="en-GB"/>
        </w:rPr>
        <w:t>Kuzmanović</w:t>
      </w:r>
      <w:proofErr w:type="spellEnd"/>
      <w:r w:rsidRPr="00A4732A">
        <w:rPr>
          <w:lang w:val="en-GB"/>
        </w:rPr>
        <w:t xml:space="preserve"> </w:t>
      </w:r>
      <w:r w:rsidR="00F610DB" w:rsidRPr="00A4732A">
        <w:rPr>
          <w:lang w:val="en-GB"/>
        </w:rPr>
        <w:t xml:space="preserve">and eventually </w:t>
      </w:r>
      <w:r w:rsidRPr="00A4732A">
        <w:rPr>
          <w:lang w:val="en-GB"/>
        </w:rPr>
        <w:t xml:space="preserve">managed to escape. According to this </w:t>
      </w:r>
      <w:r w:rsidR="00F610DB" w:rsidRPr="00A4732A">
        <w:rPr>
          <w:lang w:val="en-GB"/>
        </w:rPr>
        <w:t xml:space="preserve">account, Mr </w:t>
      </w:r>
      <w:proofErr w:type="spellStart"/>
      <w:r w:rsidR="00F610DB" w:rsidRPr="00A4732A">
        <w:rPr>
          <w:lang w:val="en-GB"/>
        </w:rPr>
        <w:t>Ðorđe</w:t>
      </w:r>
      <w:proofErr w:type="spellEnd"/>
      <w:r w:rsidR="00F610DB" w:rsidRPr="00A4732A">
        <w:rPr>
          <w:lang w:val="en-GB"/>
        </w:rPr>
        <w:t xml:space="preserve"> </w:t>
      </w:r>
      <w:proofErr w:type="spellStart"/>
      <w:r w:rsidR="00F610DB" w:rsidRPr="00A4732A">
        <w:rPr>
          <w:lang w:val="en-GB"/>
        </w:rPr>
        <w:t>Kuzmanović</w:t>
      </w:r>
      <w:proofErr w:type="spellEnd"/>
      <w:r w:rsidR="00F610DB" w:rsidRPr="00A4732A">
        <w:rPr>
          <w:lang w:val="en-GB"/>
        </w:rPr>
        <w:t xml:space="preserve"> and</w:t>
      </w:r>
      <w:r w:rsidRPr="00A4732A">
        <w:rPr>
          <w:lang w:val="en-GB"/>
        </w:rPr>
        <w:t xml:space="preserve"> </w:t>
      </w:r>
      <w:r w:rsidR="00A4732A" w:rsidRPr="00A4732A">
        <w:rPr>
          <w:lang w:val="en-GB"/>
        </w:rPr>
        <w:t xml:space="preserve">Mr </w:t>
      </w:r>
      <w:r w:rsidRPr="00A4732A">
        <w:rPr>
          <w:lang w:val="en-GB"/>
        </w:rPr>
        <w:t xml:space="preserve">V.S. were abducted by KLA members on 21 June 1999 under the watch of KFOR Italian soldiers. They were taken to </w:t>
      </w:r>
      <w:r w:rsidR="00810D7A" w:rsidRPr="00A4732A">
        <w:rPr>
          <w:lang w:val="en-GB"/>
        </w:rPr>
        <w:t xml:space="preserve">a building housing a driving school </w:t>
      </w:r>
      <w:r w:rsidR="00F610DB" w:rsidRPr="00A4732A">
        <w:rPr>
          <w:lang w:val="en-GB"/>
        </w:rPr>
        <w:t xml:space="preserve">in Gjakovё/Ðakovica </w:t>
      </w:r>
      <w:r w:rsidR="00810D7A" w:rsidRPr="00A4732A">
        <w:rPr>
          <w:lang w:val="en-GB"/>
        </w:rPr>
        <w:t xml:space="preserve">where they were subject to mistreatments and torture. </w:t>
      </w:r>
      <w:r w:rsidRPr="00A4732A">
        <w:rPr>
          <w:lang w:val="en-GB"/>
        </w:rPr>
        <w:t xml:space="preserve">Among the kidnappers, </w:t>
      </w:r>
      <w:r w:rsidR="000E66F9" w:rsidRPr="00A4732A">
        <w:rPr>
          <w:lang w:val="en-GB"/>
        </w:rPr>
        <w:t xml:space="preserve">Mr V.S. recognised </w:t>
      </w:r>
      <w:proofErr w:type="spellStart"/>
      <w:r w:rsidRPr="00A4732A">
        <w:rPr>
          <w:lang w:val="en-GB"/>
        </w:rPr>
        <w:t>I.R</w:t>
      </w:r>
      <w:r w:rsidR="000A4303" w:rsidRPr="00A4732A">
        <w:rPr>
          <w:lang w:val="en-GB"/>
        </w:rPr>
        <w:t>e</w:t>
      </w:r>
      <w:proofErr w:type="spellEnd"/>
      <w:r w:rsidRPr="00A4732A">
        <w:rPr>
          <w:lang w:val="en-GB"/>
        </w:rPr>
        <w:t xml:space="preserve">. </w:t>
      </w:r>
      <w:proofErr w:type="gramStart"/>
      <w:r w:rsidRPr="00A4732A">
        <w:rPr>
          <w:lang w:val="en-GB"/>
        </w:rPr>
        <w:t>from</w:t>
      </w:r>
      <w:proofErr w:type="gramEnd"/>
      <w:r w:rsidRPr="00A4732A">
        <w:rPr>
          <w:lang w:val="en-GB"/>
        </w:rPr>
        <w:t xml:space="preserve"> the village of </w:t>
      </w:r>
      <w:proofErr w:type="spellStart"/>
      <w:r w:rsidR="00A80C08" w:rsidRPr="00A4732A">
        <w:rPr>
          <w:lang w:val="en-GB"/>
        </w:rPr>
        <w:t>Ponoshec</w:t>
      </w:r>
      <w:proofErr w:type="spellEnd"/>
      <w:r w:rsidR="00A80C08" w:rsidRPr="00A4732A">
        <w:rPr>
          <w:lang w:val="en-GB"/>
        </w:rPr>
        <w:t>/</w:t>
      </w:r>
      <w:proofErr w:type="spellStart"/>
      <w:r w:rsidR="00A80C08" w:rsidRPr="00A4732A">
        <w:rPr>
          <w:lang w:val="en-GB"/>
        </w:rPr>
        <w:t>Ponoševac</w:t>
      </w:r>
      <w:proofErr w:type="spellEnd"/>
      <w:r w:rsidR="00B71C9E" w:rsidRPr="00A4732A">
        <w:rPr>
          <w:lang w:val="en-GB"/>
        </w:rPr>
        <w:t xml:space="preserve"> and th</w:t>
      </w:r>
      <w:r w:rsidR="000E66F9" w:rsidRPr="00A4732A">
        <w:rPr>
          <w:lang w:val="en-GB"/>
        </w:rPr>
        <w:t xml:space="preserve">eir next-door neighbour Mr </w:t>
      </w:r>
      <w:proofErr w:type="spellStart"/>
      <w:r w:rsidR="000E66F9" w:rsidRPr="00A4732A">
        <w:rPr>
          <w:lang w:val="en-GB"/>
        </w:rPr>
        <w:t>D.R</w:t>
      </w:r>
      <w:r w:rsidR="000A4303" w:rsidRPr="00A4732A">
        <w:rPr>
          <w:lang w:val="en-GB"/>
        </w:rPr>
        <w:t>a</w:t>
      </w:r>
      <w:proofErr w:type="spellEnd"/>
      <w:r w:rsidR="000E66F9" w:rsidRPr="00A4732A">
        <w:rPr>
          <w:lang w:val="en-GB"/>
        </w:rPr>
        <w:t xml:space="preserve">. </w:t>
      </w:r>
      <w:r w:rsidR="00B71C9E" w:rsidRPr="00A4732A">
        <w:rPr>
          <w:lang w:val="en-GB"/>
        </w:rPr>
        <w:t xml:space="preserve">On an unspecified date, </w:t>
      </w:r>
      <w:r w:rsidR="000E66F9" w:rsidRPr="00A4732A">
        <w:rPr>
          <w:lang w:val="en-GB"/>
        </w:rPr>
        <w:t xml:space="preserve">Mr </w:t>
      </w:r>
      <w:r w:rsidR="00B71C9E" w:rsidRPr="00A4732A">
        <w:rPr>
          <w:lang w:val="en-GB"/>
        </w:rPr>
        <w:t xml:space="preserve">V.S. </w:t>
      </w:r>
      <w:r w:rsidR="00F610DB" w:rsidRPr="00A4732A">
        <w:rPr>
          <w:lang w:val="en-GB"/>
        </w:rPr>
        <w:t xml:space="preserve">managed to escape. </w:t>
      </w:r>
      <w:r w:rsidR="00B71C9E" w:rsidRPr="00A4732A">
        <w:rPr>
          <w:lang w:val="en-GB"/>
        </w:rPr>
        <w:t>With the help of some</w:t>
      </w:r>
      <w:r w:rsidR="00A4732A" w:rsidRPr="00A4732A">
        <w:rPr>
          <w:lang w:val="en-GB"/>
        </w:rPr>
        <w:t xml:space="preserve"> Albanian neighbours, he was able</w:t>
      </w:r>
      <w:r w:rsidR="00B71C9E" w:rsidRPr="00A4732A">
        <w:rPr>
          <w:lang w:val="en-GB"/>
        </w:rPr>
        <w:t xml:space="preserve"> to reach a different group of KFOR soldiers, who took him to </w:t>
      </w:r>
      <w:proofErr w:type="spellStart"/>
      <w:r w:rsidR="00F610DB" w:rsidRPr="00A4732A">
        <w:rPr>
          <w:lang w:val="en-GB"/>
        </w:rPr>
        <w:t>Deçan</w:t>
      </w:r>
      <w:proofErr w:type="spellEnd"/>
      <w:r w:rsidR="00F610DB" w:rsidRPr="00A4732A">
        <w:rPr>
          <w:lang w:val="en-GB"/>
        </w:rPr>
        <w:t>/</w:t>
      </w:r>
      <w:proofErr w:type="spellStart"/>
      <w:r w:rsidR="00B71C9E" w:rsidRPr="00A4732A">
        <w:rPr>
          <w:lang w:val="en-GB"/>
        </w:rPr>
        <w:t>Dečani</w:t>
      </w:r>
      <w:proofErr w:type="spellEnd"/>
      <w:r w:rsidR="00B71C9E" w:rsidRPr="00A4732A">
        <w:rPr>
          <w:lang w:val="en-GB"/>
        </w:rPr>
        <w:t xml:space="preserve"> and Pejë/Peć and from there to Montenegro, whe</w:t>
      </w:r>
      <w:r w:rsidR="000E66F9" w:rsidRPr="00A4732A">
        <w:rPr>
          <w:lang w:val="en-GB"/>
        </w:rPr>
        <w:t>re also the complainant</w:t>
      </w:r>
      <w:r w:rsidR="00B71C9E" w:rsidRPr="00A4732A">
        <w:rPr>
          <w:lang w:val="en-GB"/>
        </w:rPr>
        <w:t xml:space="preserve"> had </w:t>
      </w:r>
      <w:r w:rsidR="00A4732A" w:rsidRPr="00A4732A">
        <w:rPr>
          <w:lang w:val="en-GB"/>
        </w:rPr>
        <w:t xml:space="preserve">also </w:t>
      </w:r>
      <w:r w:rsidR="00B71C9E" w:rsidRPr="00A4732A">
        <w:rPr>
          <w:lang w:val="en-GB"/>
        </w:rPr>
        <w:t xml:space="preserve">found refuge. </w:t>
      </w:r>
    </w:p>
    <w:p w:rsidR="00B71C9E" w:rsidRPr="00A4732A" w:rsidRDefault="00B71C9E" w:rsidP="00B71C9E">
      <w:pPr>
        <w:pStyle w:val="ListParagraph"/>
        <w:rPr>
          <w:lang w:val="en-GB"/>
        </w:rPr>
      </w:pPr>
    </w:p>
    <w:p w:rsidR="00B71C9E" w:rsidRPr="00A4732A" w:rsidRDefault="00B71C9E" w:rsidP="00B71C9E">
      <w:pPr>
        <w:numPr>
          <w:ilvl w:val="0"/>
          <w:numId w:val="2"/>
        </w:numPr>
        <w:jc w:val="both"/>
        <w:rPr>
          <w:lang w:val="en-GB"/>
        </w:rPr>
      </w:pPr>
      <w:r w:rsidRPr="00A4732A">
        <w:rPr>
          <w:lang w:val="en-GB"/>
        </w:rPr>
        <w:t>The complainant states that,</w:t>
      </w:r>
      <w:r w:rsidR="00F610DB" w:rsidRPr="00A4732A">
        <w:rPr>
          <w:lang w:val="en-GB"/>
        </w:rPr>
        <w:t xml:space="preserve"> on the day after the abduction, </w:t>
      </w:r>
      <w:r w:rsidR="00A4732A" w:rsidRPr="00A4732A">
        <w:rPr>
          <w:lang w:val="en-GB"/>
        </w:rPr>
        <w:t xml:space="preserve">Mr </w:t>
      </w:r>
      <w:proofErr w:type="spellStart"/>
      <w:r w:rsidR="00A4732A" w:rsidRPr="00A4732A">
        <w:rPr>
          <w:lang w:val="en-GB"/>
        </w:rPr>
        <w:t>Ðorđe</w:t>
      </w:r>
      <w:proofErr w:type="spellEnd"/>
      <w:r w:rsidR="00A4732A" w:rsidRPr="00A4732A">
        <w:rPr>
          <w:lang w:val="en-GB"/>
        </w:rPr>
        <w:t xml:space="preserve"> </w:t>
      </w:r>
      <w:proofErr w:type="spellStart"/>
      <w:r w:rsidR="00A4732A" w:rsidRPr="00A4732A">
        <w:rPr>
          <w:lang w:val="en-GB"/>
        </w:rPr>
        <w:t>Kuzmanović’</w:t>
      </w:r>
      <w:r w:rsidRPr="00A4732A">
        <w:rPr>
          <w:lang w:val="en-GB"/>
        </w:rPr>
        <w:t>s</w:t>
      </w:r>
      <w:proofErr w:type="spellEnd"/>
      <w:r w:rsidRPr="00A4732A">
        <w:rPr>
          <w:lang w:val="en-GB"/>
        </w:rPr>
        <w:t xml:space="preserve"> mother </w:t>
      </w:r>
      <w:r w:rsidR="00380AA7" w:rsidRPr="00A4732A">
        <w:rPr>
          <w:lang w:val="en-GB"/>
        </w:rPr>
        <w:t>made a report</w:t>
      </w:r>
      <w:r w:rsidR="00810D7A" w:rsidRPr="00A4732A">
        <w:rPr>
          <w:lang w:val="en-GB"/>
        </w:rPr>
        <w:t xml:space="preserve"> to</w:t>
      </w:r>
      <w:r w:rsidR="00F610DB" w:rsidRPr="00A4732A">
        <w:rPr>
          <w:lang w:val="en-GB"/>
        </w:rPr>
        <w:t xml:space="preserve"> the</w:t>
      </w:r>
      <w:r w:rsidRPr="00A4732A">
        <w:rPr>
          <w:lang w:val="en-GB"/>
        </w:rPr>
        <w:t xml:space="preserve"> UNMIK Police</w:t>
      </w:r>
      <w:r w:rsidR="00F610DB" w:rsidRPr="00A4732A">
        <w:rPr>
          <w:lang w:val="en-GB"/>
        </w:rPr>
        <w:t xml:space="preserve"> and that </w:t>
      </w:r>
      <w:r w:rsidR="00380AA7" w:rsidRPr="00A4732A">
        <w:rPr>
          <w:lang w:val="en-GB"/>
        </w:rPr>
        <w:t>the matter was also reported</w:t>
      </w:r>
      <w:r w:rsidR="000E66F9" w:rsidRPr="00A4732A">
        <w:rPr>
          <w:lang w:val="en-GB"/>
        </w:rPr>
        <w:t xml:space="preserve"> to</w:t>
      </w:r>
      <w:r w:rsidRPr="00A4732A">
        <w:rPr>
          <w:lang w:val="en-GB"/>
        </w:rPr>
        <w:t xml:space="preserve"> KFOR,</w:t>
      </w:r>
      <w:r w:rsidR="00810D7A" w:rsidRPr="00A4732A">
        <w:rPr>
          <w:lang w:val="en-GB"/>
        </w:rPr>
        <w:t xml:space="preserve"> the Yugoslav </w:t>
      </w:r>
      <w:r w:rsidR="00A4732A" w:rsidRPr="00A4732A">
        <w:rPr>
          <w:lang w:val="en-GB"/>
        </w:rPr>
        <w:t xml:space="preserve">Red Cross, </w:t>
      </w:r>
      <w:r w:rsidR="000E66F9" w:rsidRPr="00A4732A">
        <w:rPr>
          <w:lang w:val="en-GB"/>
        </w:rPr>
        <w:t>and the</w:t>
      </w:r>
      <w:r w:rsidR="00810D7A" w:rsidRPr="00A4732A">
        <w:rPr>
          <w:lang w:val="en-GB"/>
        </w:rPr>
        <w:t xml:space="preserve"> International Prosecutor’s Office in </w:t>
      </w:r>
      <w:proofErr w:type="spellStart"/>
      <w:r w:rsidR="00810D7A" w:rsidRPr="00A4732A">
        <w:rPr>
          <w:lang w:val="en-GB"/>
        </w:rPr>
        <w:t>Prishtinё</w:t>
      </w:r>
      <w:proofErr w:type="spellEnd"/>
      <w:r w:rsidR="00810D7A" w:rsidRPr="00A4732A">
        <w:rPr>
          <w:lang w:val="en-GB"/>
        </w:rPr>
        <w:t xml:space="preserve">/Priština. </w:t>
      </w:r>
      <w:r w:rsidRPr="00A4732A">
        <w:rPr>
          <w:lang w:val="en-GB"/>
        </w:rPr>
        <w:t xml:space="preserve">However, she is not aware of any investigation conducted by UNMIK or KFOR. </w:t>
      </w:r>
    </w:p>
    <w:p w:rsidR="00B71C9E" w:rsidRDefault="00B71C9E" w:rsidP="00B71C9E">
      <w:pPr>
        <w:pStyle w:val="ListParagraph"/>
        <w:rPr>
          <w:highlight w:val="yellow"/>
          <w:lang w:val="en-GB"/>
        </w:rPr>
      </w:pPr>
    </w:p>
    <w:p w:rsidR="00810D7A" w:rsidRPr="00D10BD5" w:rsidRDefault="00810D7A" w:rsidP="00EF6F9F">
      <w:pPr>
        <w:numPr>
          <w:ilvl w:val="0"/>
          <w:numId w:val="2"/>
        </w:numPr>
        <w:jc w:val="both"/>
        <w:rPr>
          <w:bCs/>
          <w:lang w:val="en-GB"/>
        </w:rPr>
      </w:pPr>
      <w:r w:rsidRPr="00D10BD5">
        <w:rPr>
          <w:lang w:val="en-GB"/>
        </w:rPr>
        <w:t xml:space="preserve">The name of Mr </w:t>
      </w:r>
      <w:proofErr w:type="spellStart"/>
      <w:r w:rsidRPr="00D10BD5">
        <w:rPr>
          <w:lang w:val="en-GB"/>
        </w:rPr>
        <w:t>Ðorđe</w:t>
      </w:r>
      <w:proofErr w:type="spellEnd"/>
      <w:r w:rsidRPr="00D10BD5">
        <w:rPr>
          <w:lang w:val="en-GB"/>
        </w:rPr>
        <w:t xml:space="preserve"> </w:t>
      </w:r>
      <w:proofErr w:type="spellStart"/>
      <w:r w:rsidRPr="00D10BD5">
        <w:rPr>
          <w:lang w:val="en-GB"/>
        </w:rPr>
        <w:t>Kuzmanović</w:t>
      </w:r>
      <w:proofErr w:type="spellEnd"/>
      <w:r w:rsidRPr="00D10BD5">
        <w:rPr>
          <w:lang w:val="en-GB"/>
        </w:rPr>
        <w:t xml:space="preserve"> appears in two lists of missing persons communicated by the</w:t>
      </w:r>
      <w:r w:rsidR="00380AA7" w:rsidRPr="00D10BD5">
        <w:rPr>
          <w:lang w:val="en-GB"/>
        </w:rPr>
        <w:t xml:space="preserve"> ICRC</w:t>
      </w:r>
      <w:r w:rsidR="000E66F9" w:rsidRPr="00D10BD5">
        <w:rPr>
          <w:lang w:val="en-GB"/>
        </w:rPr>
        <w:t xml:space="preserve"> to the UNMIK Police on 21</w:t>
      </w:r>
      <w:r w:rsidRPr="00D10BD5">
        <w:rPr>
          <w:lang w:val="en-GB"/>
        </w:rPr>
        <w:t xml:space="preserve"> October 2001 and on 11 February 2002 </w:t>
      </w:r>
      <w:r w:rsidRPr="00D10BD5">
        <w:rPr>
          <w:lang w:val="en-GB"/>
        </w:rPr>
        <w:lastRenderedPageBreak/>
        <w:t>respectively,</w:t>
      </w:r>
      <w:r w:rsidR="00B71C9E" w:rsidRPr="00D10BD5">
        <w:rPr>
          <w:lang w:val="en-GB"/>
        </w:rPr>
        <w:t xml:space="preserve"> for which ante-mortem data had been gathered</w:t>
      </w:r>
      <w:r w:rsidR="00380AA7" w:rsidRPr="00D10BD5">
        <w:rPr>
          <w:lang w:val="en-GB"/>
        </w:rPr>
        <w:t xml:space="preserve"> in Serbia proper</w:t>
      </w:r>
      <w:r w:rsidR="00B71C9E" w:rsidRPr="00D10BD5">
        <w:rPr>
          <w:lang w:val="en-GB"/>
        </w:rPr>
        <w:t xml:space="preserve">. His name also appears </w:t>
      </w:r>
      <w:r w:rsidRPr="00D10BD5">
        <w:rPr>
          <w:lang w:val="en-GB"/>
        </w:rPr>
        <w:t>on the da</w:t>
      </w:r>
      <w:r w:rsidR="00B71C9E" w:rsidRPr="00D10BD5">
        <w:rPr>
          <w:lang w:val="en-GB"/>
        </w:rPr>
        <w:t>tabase compiled by the UNMIK OMPF</w:t>
      </w:r>
      <w:r w:rsidR="00B71C9E" w:rsidRPr="00D10BD5">
        <w:rPr>
          <w:rStyle w:val="FootnoteReference"/>
          <w:bCs/>
          <w:lang w:val="en-GB"/>
        </w:rPr>
        <w:footnoteReference w:id="3"/>
      </w:r>
      <w:r w:rsidRPr="00D10BD5">
        <w:rPr>
          <w:lang w:val="en-GB"/>
        </w:rPr>
        <w:t xml:space="preserve">. </w:t>
      </w:r>
      <w:r w:rsidR="00B71C9E" w:rsidRPr="00D10BD5">
        <w:rPr>
          <w:bCs/>
          <w:lang w:val="en-GB"/>
        </w:rPr>
        <w:t xml:space="preserve">The entry in relation to </w:t>
      </w:r>
      <w:r w:rsidR="00B71C9E" w:rsidRPr="00D10BD5">
        <w:rPr>
          <w:lang w:val="en-GB"/>
        </w:rPr>
        <w:t xml:space="preserve">Mr </w:t>
      </w:r>
      <w:proofErr w:type="spellStart"/>
      <w:r w:rsidR="00B71C9E" w:rsidRPr="00D10BD5">
        <w:rPr>
          <w:lang w:val="en-GB"/>
        </w:rPr>
        <w:t>Ðorđe</w:t>
      </w:r>
      <w:proofErr w:type="spellEnd"/>
      <w:r w:rsidR="00B71C9E" w:rsidRPr="00D10BD5">
        <w:rPr>
          <w:lang w:val="en-GB"/>
        </w:rPr>
        <w:t xml:space="preserve"> </w:t>
      </w:r>
      <w:proofErr w:type="spellStart"/>
      <w:r w:rsidR="00B71C9E" w:rsidRPr="00D10BD5">
        <w:rPr>
          <w:lang w:val="en-GB"/>
        </w:rPr>
        <w:t>Kuzmanović</w:t>
      </w:r>
      <w:proofErr w:type="spellEnd"/>
      <w:r w:rsidR="00B71C9E" w:rsidRPr="00D10BD5">
        <w:rPr>
          <w:lang w:val="en-GB"/>
        </w:rPr>
        <w:t xml:space="preserve"> </w:t>
      </w:r>
      <w:r w:rsidR="00B71C9E" w:rsidRPr="00D10BD5">
        <w:rPr>
          <w:bCs/>
          <w:lang w:val="en-GB"/>
        </w:rPr>
        <w:t xml:space="preserve">in the </w:t>
      </w:r>
      <w:r w:rsidR="00B71C9E" w:rsidRPr="00D10BD5">
        <w:rPr>
          <w:lang w:val="en-GB"/>
        </w:rPr>
        <w:t>online database maintained by the ICMP</w:t>
      </w:r>
      <w:r w:rsidR="00B71C9E" w:rsidRPr="00D10BD5">
        <w:rPr>
          <w:vertAlign w:val="superscript"/>
          <w:lang w:val="en-GB"/>
        </w:rPr>
        <w:footnoteReference w:id="4"/>
      </w:r>
      <w:r w:rsidR="00B71C9E" w:rsidRPr="00D10BD5">
        <w:rPr>
          <w:lang w:val="en-GB"/>
        </w:rPr>
        <w:t xml:space="preserve"> </w:t>
      </w:r>
      <w:r w:rsidR="00380AA7" w:rsidRPr="00D10BD5">
        <w:rPr>
          <w:lang w:val="en-GB"/>
        </w:rPr>
        <w:t xml:space="preserve">reads in </w:t>
      </w:r>
      <w:r w:rsidR="00B71C9E" w:rsidRPr="00D10BD5">
        <w:rPr>
          <w:lang w:val="en-GB"/>
        </w:rPr>
        <w:t>relevant fields: “Sufficient Reference Samples Collected” and “ICMP has provided information on this</w:t>
      </w:r>
      <w:r w:rsidR="00EF6F9F" w:rsidRPr="00D10BD5">
        <w:rPr>
          <w:lang w:val="en-GB"/>
        </w:rPr>
        <w:t xml:space="preserve"> missing</w:t>
      </w:r>
      <w:r w:rsidR="00B71C9E" w:rsidRPr="00D10BD5">
        <w:rPr>
          <w:lang w:val="en-GB"/>
        </w:rPr>
        <w:t xml:space="preserve"> person</w:t>
      </w:r>
      <w:r w:rsidR="00EF6F9F" w:rsidRPr="00D10BD5">
        <w:rPr>
          <w:lang w:val="en-GB"/>
        </w:rPr>
        <w:t xml:space="preserve"> on 03-17-2003</w:t>
      </w:r>
      <w:r w:rsidR="00B71C9E" w:rsidRPr="00D10BD5">
        <w:rPr>
          <w:lang w:val="en-GB"/>
        </w:rPr>
        <w:t xml:space="preserve"> to authorized institution. To obtain additional information, contact EULEX Kosovo Headquarters.” </w:t>
      </w:r>
    </w:p>
    <w:p w:rsidR="00810D7A" w:rsidRPr="00D10BD5" w:rsidRDefault="00810D7A" w:rsidP="00810D7A">
      <w:pPr>
        <w:jc w:val="both"/>
        <w:rPr>
          <w:lang w:val="en-GB"/>
        </w:rPr>
      </w:pPr>
    </w:p>
    <w:p w:rsidR="00810D7A" w:rsidRPr="00D10BD5" w:rsidRDefault="00810D7A" w:rsidP="00810D7A">
      <w:pPr>
        <w:numPr>
          <w:ilvl w:val="0"/>
          <w:numId w:val="2"/>
        </w:numPr>
        <w:jc w:val="both"/>
        <w:rPr>
          <w:lang w:val="en-GB"/>
        </w:rPr>
      </w:pPr>
      <w:r w:rsidRPr="00D10BD5">
        <w:rPr>
          <w:lang w:val="en-GB"/>
        </w:rPr>
        <w:t>The complainant states that</w:t>
      </w:r>
      <w:r w:rsidR="00380AA7" w:rsidRPr="00D10BD5">
        <w:rPr>
          <w:lang w:val="en-GB"/>
        </w:rPr>
        <w:t xml:space="preserve"> UNMIK handed over</w:t>
      </w:r>
      <w:r w:rsidRPr="00D10BD5">
        <w:rPr>
          <w:lang w:val="en-GB"/>
        </w:rPr>
        <w:t xml:space="preserve"> the mortal</w:t>
      </w:r>
      <w:r w:rsidR="00380AA7" w:rsidRPr="00D10BD5">
        <w:rPr>
          <w:lang w:val="en-GB"/>
        </w:rPr>
        <w:t xml:space="preserve"> remains of her husband </w:t>
      </w:r>
      <w:r w:rsidRPr="00D10BD5">
        <w:rPr>
          <w:lang w:val="en-GB"/>
        </w:rPr>
        <w:t xml:space="preserve">on 23 May 2003. </w:t>
      </w:r>
    </w:p>
    <w:p w:rsidR="00D64ACA" w:rsidRPr="00393E7A" w:rsidRDefault="00D64ACA" w:rsidP="00D64ACA">
      <w:pPr>
        <w:jc w:val="both"/>
      </w:pPr>
    </w:p>
    <w:p w:rsidR="00D64ACA" w:rsidRPr="00393E7A" w:rsidRDefault="00D64ACA" w:rsidP="00D64ACA">
      <w:pPr>
        <w:jc w:val="both"/>
        <w:rPr>
          <w:lang w:val="en-GB"/>
        </w:rPr>
      </w:pPr>
      <w:r w:rsidRPr="00393E7A">
        <w:rPr>
          <w:b/>
          <w:lang w:val="en-GB"/>
        </w:rPr>
        <w:t>C. The investigation</w:t>
      </w:r>
    </w:p>
    <w:p w:rsidR="00D142E8" w:rsidRPr="00393E7A" w:rsidRDefault="00D142E8" w:rsidP="00D142E8">
      <w:pPr>
        <w:jc w:val="both"/>
        <w:rPr>
          <w:i/>
          <w:lang w:val="en-GB"/>
        </w:rPr>
      </w:pPr>
    </w:p>
    <w:p w:rsidR="00D64ACA" w:rsidRPr="00393E7A" w:rsidRDefault="00D64ACA" w:rsidP="000072A4">
      <w:pPr>
        <w:pStyle w:val="ListParagraph"/>
        <w:ind w:left="0"/>
        <w:jc w:val="both"/>
        <w:rPr>
          <w:i/>
          <w:lang w:val="en-GB"/>
        </w:rPr>
      </w:pPr>
      <w:bookmarkStart w:id="9" w:name="_Ref347322102"/>
      <w:r w:rsidRPr="00393E7A">
        <w:rPr>
          <w:i/>
          <w:lang w:val="en-GB"/>
        </w:rPr>
        <w:t>Disclosure of relevant files</w:t>
      </w:r>
    </w:p>
    <w:p w:rsidR="00D64ACA" w:rsidRPr="00393E7A" w:rsidRDefault="00D64ACA" w:rsidP="00D64ACA">
      <w:pPr>
        <w:pStyle w:val="Default"/>
        <w:suppressAutoHyphens/>
        <w:jc w:val="both"/>
        <w:rPr>
          <w:bCs/>
          <w:lang w:val="en-GB"/>
        </w:rPr>
      </w:pPr>
    </w:p>
    <w:p w:rsidR="00D64ACA" w:rsidRPr="00393E7A" w:rsidRDefault="00D64ACA" w:rsidP="00D64ACA">
      <w:pPr>
        <w:pStyle w:val="Default"/>
        <w:numPr>
          <w:ilvl w:val="0"/>
          <w:numId w:val="2"/>
        </w:numPr>
        <w:tabs>
          <w:tab w:val="left" w:pos="360"/>
        </w:tabs>
        <w:suppressAutoHyphens/>
        <w:jc w:val="both"/>
        <w:rPr>
          <w:bCs/>
          <w:lang w:val="en-GB"/>
        </w:rPr>
      </w:pPr>
      <w:bookmarkStart w:id="10" w:name="_Ref365886120"/>
      <w:r w:rsidRPr="00393E7A">
        <w:rPr>
          <w:lang w:val="en-GB"/>
        </w:rPr>
        <w:t>On</w:t>
      </w:r>
      <w:bookmarkStart w:id="11" w:name="_Ref348357381"/>
      <w:r w:rsidRPr="00393E7A">
        <w:rPr>
          <w:lang w:val="en-GB"/>
        </w:rPr>
        <w:t xml:space="preserve"> </w:t>
      </w:r>
      <w:r w:rsidR="00EF6F9F">
        <w:rPr>
          <w:lang w:val="en-GB"/>
        </w:rPr>
        <w:t>15 March 2013</w:t>
      </w:r>
      <w:r w:rsidRPr="00393E7A">
        <w:rPr>
          <w:lang w:val="en-GB"/>
        </w:rPr>
        <w:t xml:space="preserve">, </w:t>
      </w:r>
      <w:r w:rsidR="00711C23" w:rsidRPr="00393E7A">
        <w:rPr>
          <w:bCs/>
          <w:lang w:val="en-GB"/>
        </w:rPr>
        <w:t>UNMIK provided</w:t>
      </w:r>
      <w:r w:rsidR="0080361B" w:rsidRPr="00393E7A">
        <w:rPr>
          <w:bCs/>
          <w:lang w:val="en-GB"/>
        </w:rPr>
        <w:t xml:space="preserve"> to the Panel</w:t>
      </w:r>
      <w:r w:rsidRPr="00393E7A">
        <w:rPr>
          <w:bCs/>
          <w:lang w:val="en-GB"/>
        </w:rPr>
        <w:t xml:space="preserve"> documents </w:t>
      </w:r>
      <w:r w:rsidRPr="00393E7A">
        <w:rPr>
          <w:lang w:val="en-GB"/>
        </w:rPr>
        <w:t>which were held previously by the</w:t>
      </w:r>
      <w:r w:rsidR="00423598" w:rsidRPr="00393E7A">
        <w:rPr>
          <w:lang w:val="en-GB"/>
        </w:rPr>
        <w:t xml:space="preserve"> UNMIK</w:t>
      </w:r>
      <w:r w:rsidR="00EF6F9F">
        <w:rPr>
          <w:lang w:val="en-GB"/>
        </w:rPr>
        <w:t xml:space="preserve"> Police</w:t>
      </w:r>
      <w:r w:rsidR="00622236" w:rsidRPr="00393E7A">
        <w:rPr>
          <w:lang w:val="en-GB"/>
        </w:rPr>
        <w:t xml:space="preserve"> </w:t>
      </w:r>
      <w:r w:rsidRPr="00393E7A">
        <w:rPr>
          <w:lang w:val="en-GB"/>
        </w:rPr>
        <w:t xml:space="preserve">and EULEX. On </w:t>
      </w:r>
      <w:r w:rsidR="0080746A">
        <w:rPr>
          <w:lang w:val="en-GB"/>
        </w:rPr>
        <w:t>13</w:t>
      </w:r>
      <w:r w:rsidR="001850F5" w:rsidRPr="00393E7A">
        <w:rPr>
          <w:lang w:val="en-GB"/>
        </w:rPr>
        <w:t xml:space="preserve"> </w:t>
      </w:r>
      <w:r w:rsidR="00EF6F9F">
        <w:rPr>
          <w:lang w:val="en-GB"/>
        </w:rPr>
        <w:t>January 2015</w:t>
      </w:r>
      <w:r w:rsidR="00022E69" w:rsidRPr="00393E7A">
        <w:rPr>
          <w:lang w:val="en-GB"/>
        </w:rPr>
        <w:t>,</w:t>
      </w:r>
      <w:r w:rsidRPr="00393E7A">
        <w:rPr>
          <w:lang w:val="en-GB"/>
        </w:rPr>
        <w:t xml:space="preserve"> UNMIK confirmed to the Panel that all files in UNMIK’s possession have been disclosed.</w:t>
      </w:r>
      <w:bookmarkEnd w:id="10"/>
      <w:bookmarkEnd w:id="11"/>
    </w:p>
    <w:p w:rsidR="00D64ACA" w:rsidRPr="00393E7A" w:rsidRDefault="00D64ACA" w:rsidP="00D64ACA">
      <w:pPr>
        <w:pStyle w:val="Default"/>
        <w:suppressAutoHyphens/>
        <w:ind w:left="360"/>
        <w:jc w:val="both"/>
        <w:rPr>
          <w:bCs/>
          <w:lang w:val="en-GB"/>
        </w:rPr>
      </w:pPr>
    </w:p>
    <w:p w:rsidR="00D64ACA" w:rsidRPr="00393E7A" w:rsidRDefault="00D64ACA" w:rsidP="00D64ACA">
      <w:pPr>
        <w:widowControl w:val="0"/>
        <w:numPr>
          <w:ilvl w:val="0"/>
          <w:numId w:val="2"/>
        </w:numPr>
        <w:tabs>
          <w:tab w:val="left" w:pos="360"/>
          <w:tab w:val="num" w:pos="630"/>
          <w:tab w:val="left" w:pos="1080"/>
        </w:tabs>
        <w:suppressAutoHyphens/>
        <w:jc w:val="both"/>
        <w:rPr>
          <w:bCs/>
          <w:lang w:val="en-GB"/>
        </w:rPr>
      </w:pPr>
      <w:r w:rsidRPr="00393E7A">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bookmarkEnd w:id="9"/>
    <w:p w:rsidR="009D27AD" w:rsidRPr="00393E7A" w:rsidRDefault="009D27AD" w:rsidP="009D27AD">
      <w:pPr>
        <w:jc w:val="both"/>
        <w:rPr>
          <w:lang w:val="en-GB"/>
        </w:rPr>
      </w:pPr>
    </w:p>
    <w:p w:rsidR="00FE5CF6" w:rsidRPr="00D10BD5" w:rsidRDefault="002A0463" w:rsidP="00A62C6D">
      <w:pPr>
        <w:pStyle w:val="ListParagraph"/>
        <w:widowControl w:val="0"/>
        <w:numPr>
          <w:ilvl w:val="0"/>
          <w:numId w:val="2"/>
        </w:numPr>
        <w:tabs>
          <w:tab w:val="left" w:pos="360"/>
          <w:tab w:val="num" w:pos="630"/>
          <w:tab w:val="left" w:pos="1080"/>
        </w:tabs>
        <w:jc w:val="both"/>
        <w:rPr>
          <w:bCs/>
          <w:lang w:val="en-GB"/>
        </w:rPr>
      </w:pPr>
      <w:bookmarkStart w:id="12" w:name="_Ref404680199"/>
      <w:bookmarkStart w:id="13" w:name="_Ref400968564"/>
      <w:bookmarkStart w:id="14" w:name="_Ref397946944"/>
      <w:bookmarkStart w:id="15" w:name="_Ref394589400"/>
      <w:bookmarkStart w:id="16" w:name="_Ref394489616"/>
      <w:bookmarkStart w:id="17" w:name="_Ref384389656"/>
      <w:bookmarkStart w:id="18" w:name="_Ref387228732"/>
      <w:bookmarkStart w:id="19" w:name="_Ref387918075"/>
      <w:r w:rsidRPr="00D10BD5">
        <w:rPr>
          <w:bCs/>
          <w:lang w:val="en-GB"/>
        </w:rPr>
        <w:t>The earliest document in the</w:t>
      </w:r>
      <w:r w:rsidR="001B6ABE" w:rsidRPr="00D10BD5">
        <w:rPr>
          <w:bCs/>
          <w:lang w:val="en-GB"/>
        </w:rPr>
        <w:t xml:space="preserve"> investigative</w:t>
      </w:r>
      <w:r w:rsidRPr="00D10BD5">
        <w:rPr>
          <w:bCs/>
          <w:lang w:val="en-GB"/>
        </w:rPr>
        <w:t xml:space="preserve"> file is the first page of a</w:t>
      </w:r>
      <w:r w:rsidR="003819AD" w:rsidRPr="00D10BD5">
        <w:rPr>
          <w:bCs/>
          <w:lang w:val="en-GB"/>
        </w:rPr>
        <w:t>n UNMIK</w:t>
      </w:r>
      <w:r w:rsidRPr="00D10BD5">
        <w:rPr>
          <w:bCs/>
          <w:lang w:val="en-GB"/>
        </w:rPr>
        <w:t xml:space="preserve"> </w:t>
      </w:r>
      <w:r w:rsidR="0028109E" w:rsidRPr="00D10BD5">
        <w:rPr>
          <w:bCs/>
          <w:lang w:val="en-GB"/>
        </w:rPr>
        <w:t>“</w:t>
      </w:r>
      <w:r w:rsidRPr="00D10BD5">
        <w:rPr>
          <w:bCs/>
          <w:lang w:val="en-GB"/>
        </w:rPr>
        <w:t xml:space="preserve">Police Enquiry </w:t>
      </w:r>
      <w:proofErr w:type="spellStart"/>
      <w:r w:rsidRPr="00D10BD5">
        <w:rPr>
          <w:bCs/>
          <w:lang w:val="en-GB"/>
        </w:rPr>
        <w:t>Proforma</w:t>
      </w:r>
      <w:proofErr w:type="spellEnd"/>
      <w:r w:rsidR="0028109E" w:rsidRPr="00D10BD5">
        <w:rPr>
          <w:bCs/>
          <w:lang w:val="en-GB"/>
        </w:rPr>
        <w:t>”</w:t>
      </w:r>
      <w:r w:rsidRPr="00D10BD5">
        <w:rPr>
          <w:bCs/>
          <w:lang w:val="en-GB"/>
        </w:rPr>
        <w:t xml:space="preserve"> dated 4 September 1999</w:t>
      </w:r>
      <w:r w:rsidR="00D10BD5" w:rsidRPr="00D10BD5">
        <w:rPr>
          <w:bCs/>
          <w:lang w:val="en-GB"/>
        </w:rPr>
        <w:t>,</w:t>
      </w:r>
      <w:r w:rsidRPr="00D10BD5">
        <w:rPr>
          <w:bCs/>
          <w:lang w:val="en-GB"/>
        </w:rPr>
        <w:t xml:space="preserve"> which states that </w:t>
      </w:r>
      <w:r w:rsidRPr="00D10BD5">
        <w:rPr>
          <w:lang w:val="en-GB"/>
        </w:rPr>
        <w:t xml:space="preserve">Mr </w:t>
      </w:r>
      <w:proofErr w:type="spellStart"/>
      <w:r w:rsidRPr="00D10BD5">
        <w:rPr>
          <w:lang w:val="en-GB"/>
        </w:rPr>
        <w:t>Ðorđe</w:t>
      </w:r>
      <w:proofErr w:type="spellEnd"/>
      <w:r w:rsidRPr="00D10BD5">
        <w:rPr>
          <w:lang w:val="en-GB"/>
        </w:rPr>
        <w:t xml:space="preserve"> </w:t>
      </w:r>
      <w:proofErr w:type="spellStart"/>
      <w:r w:rsidRPr="00D10BD5">
        <w:rPr>
          <w:lang w:val="en-GB"/>
        </w:rPr>
        <w:t>Kuzmanović’s</w:t>
      </w:r>
      <w:proofErr w:type="spellEnd"/>
      <w:r w:rsidRPr="00D10BD5">
        <w:rPr>
          <w:lang w:val="en-GB"/>
        </w:rPr>
        <w:t xml:space="preserve"> sister (complete name, home address and telephone number in Serbia proper provided) had calle</w:t>
      </w:r>
      <w:r w:rsidR="00D10BD5" w:rsidRPr="00D10BD5">
        <w:rPr>
          <w:lang w:val="en-GB"/>
        </w:rPr>
        <w:t>d to report the abduction of her</w:t>
      </w:r>
      <w:r w:rsidRPr="00D10BD5">
        <w:rPr>
          <w:lang w:val="en-GB"/>
        </w:rPr>
        <w:t xml:space="preserve"> brother</w:t>
      </w:r>
      <w:r w:rsidR="003819AD" w:rsidRPr="00D10BD5">
        <w:rPr>
          <w:lang w:val="en-GB"/>
        </w:rPr>
        <w:t>,</w:t>
      </w:r>
      <w:r w:rsidR="00D10BD5" w:rsidRPr="00D10BD5">
        <w:rPr>
          <w:lang w:val="en-GB"/>
        </w:rPr>
        <w:t xml:space="preserve"> which had</w:t>
      </w:r>
      <w:r w:rsidR="003819AD" w:rsidRPr="00D10BD5">
        <w:rPr>
          <w:lang w:val="en-GB"/>
        </w:rPr>
        <w:t xml:space="preserve"> </w:t>
      </w:r>
      <w:r w:rsidR="00F831A4" w:rsidRPr="00D10BD5">
        <w:rPr>
          <w:lang w:val="en-GB"/>
        </w:rPr>
        <w:t>occurred</w:t>
      </w:r>
      <w:r w:rsidR="00D10BD5" w:rsidRPr="00D10BD5">
        <w:rPr>
          <w:lang w:val="en-GB"/>
        </w:rPr>
        <w:t xml:space="preserve"> in</w:t>
      </w:r>
      <w:r w:rsidRPr="00D10BD5">
        <w:rPr>
          <w:lang w:val="en-GB"/>
        </w:rPr>
        <w:t xml:space="preserve"> the presence of their mother</w:t>
      </w:r>
      <w:r w:rsidR="003819AD" w:rsidRPr="00D10BD5">
        <w:rPr>
          <w:lang w:val="en-GB"/>
        </w:rPr>
        <w:t xml:space="preserve">, </w:t>
      </w:r>
      <w:r w:rsidR="00A80C08" w:rsidRPr="00D10BD5">
        <w:rPr>
          <w:lang w:val="en-GB"/>
        </w:rPr>
        <w:t>Mrs L.K.,</w:t>
      </w:r>
      <w:r w:rsidR="003819AD" w:rsidRPr="00D10BD5">
        <w:rPr>
          <w:lang w:val="en-GB"/>
        </w:rPr>
        <w:t xml:space="preserve"> on 21 June 1999</w:t>
      </w:r>
      <w:r w:rsidRPr="00D10BD5">
        <w:rPr>
          <w:lang w:val="en-GB"/>
        </w:rPr>
        <w:t xml:space="preserve">. The description of the abduction appears to continue on the following page of the document, which, however, is not included in the file. The file also contains the first page of a second </w:t>
      </w:r>
      <w:r w:rsidR="0028109E" w:rsidRPr="00D10BD5">
        <w:rPr>
          <w:lang w:val="en-GB"/>
        </w:rPr>
        <w:t>“</w:t>
      </w:r>
      <w:r w:rsidRPr="00D10BD5">
        <w:rPr>
          <w:bCs/>
          <w:lang w:val="en-GB"/>
        </w:rPr>
        <w:t xml:space="preserve">Police Enquiry </w:t>
      </w:r>
      <w:proofErr w:type="spellStart"/>
      <w:r w:rsidRPr="00D10BD5">
        <w:rPr>
          <w:bCs/>
          <w:lang w:val="en-GB"/>
        </w:rPr>
        <w:t>Proforma</w:t>
      </w:r>
      <w:proofErr w:type="spellEnd"/>
      <w:r w:rsidR="0028109E" w:rsidRPr="00D10BD5">
        <w:rPr>
          <w:bCs/>
          <w:lang w:val="en-GB"/>
        </w:rPr>
        <w:t>”</w:t>
      </w:r>
      <w:r w:rsidRPr="00D10BD5">
        <w:rPr>
          <w:bCs/>
          <w:lang w:val="en-GB"/>
        </w:rPr>
        <w:t xml:space="preserve">, dated 21 September 1999, which states that </w:t>
      </w:r>
      <w:r w:rsidRPr="00D10BD5">
        <w:rPr>
          <w:lang w:val="en-GB"/>
        </w:rPr>
        <w:t xml:space="preserve">Mr </w:t>
      </w:r>
      <w:proofErr w:type="spellStart"/>
      <w:r w:rsidRPr="00D10BD5">
        <w:rPr>
          <w:lang w:val="en-GB"/>
        </w:rPr>
        <w:t>Ðorđe</w:t>
      </w:r>
      <w:proofErr w:type="spellEnd"/>
      <w:r w:rsidRPr="00D10BD5">
        <w:rPr>
          <w:lang w:val="en-GB"/>
        </w:rPr>
        <w:t xml:space="preserve"> </w:t>
      </w:r>
      <w:proofErr w:type="spellStart"/>
      <w:r w:rsidRPr="00D10BD5">
        <w:rPr>
          <w:lang w:val="en-GB"/>
        </w:rPr>
        <w:t>Kuzmanović’s</w:t>
      </w:r>
      <w:proofErr w:type="spellEnd"/>
      <w:r w:rsidRPr="00D10BD5">
        <w:rPr>
          <w:lang w:val="en-GB"/>
        </w:rPr>
        <w:t xml:space="preserve"> sister had called </w:t>
      </w:r>
      <w:r w:rsidR="00A80C08" w:rsidRPr="00D10BD5">
        <w:rPr>
          <w:lang w:val="en-GB"/>
        </w:rPr>
        <w:t xml:space="preserve">again </w:t>
      </w:r>
      <w:r w:rsidR="00D10BD5" w:rsidRPr="00D10BD5">
        <w:rPr>
          <w:lang w:val="en-GB"/>
        </w:rPr>
        <w:t>to provide information</w:t>
      </w:r>
      <w:r w:rsidRPr="00D10BD5">
        <w:rPr>
          <w:lang w:val="en-GB"/>
        </w:rPr>
        <w:t xml:space="preserve"> that an unidentified person had called her one month earlier saying that</w:t>
      </w:r>
      <w:r w:rsidR="0028109E" w:rsidRPr="00D10BD5">
        <w:rPr>
          <w:lang w:val="en-GB"/>
        </w:rPr>
        <w:t xml:space="preserve"> he</w:t>
      </w:r>
      <w:r w:rsidR="00A80C08" w:rsidRPr="00D10BD5">
        <w:rPr>
          <w:lang w:val="en-GB"/>
        </w:rPr>
        <w:t>r brother, who was missing since June 1999,</w:t>
      </w:r>
      <w:r w:rsidRPr="00D10BD5">
        <w:rPr>
          <w:lang w:val="en-GB"/>
        </w:rPr>
        <w:t xml:space="preserve"> was still alive. </w:t>
      </w:r>
      <w:r w:rsidR="006578FA" w:rsidRPr="00D10BD5">
        <w:rPr>
          <w:lang w:val="en-GB"/>
        </w:rPr>
        <w:t xml:space="preserve">It is not possible to read the content of the rest </w:t>
      </w:r>
      <w:r w:rsidR="0028109E" w:rsidRPr="00D10BD5">
        <w:rPr>
          <w:lang w:val="en-GB"/>
        </w:rPr>
        <w:t>of the report as the remaining</w:t>
      </w:r>
      <w:r w:rsidR="006578FA" w:rsidRPr="00D10BD5">
        <w:rPr>
          <w:lang w:val="en-GB"/>
        </w:rPr>
        <w:t xml:space="preserve"> pages </w:t>
      </w:r>
      <w:r w:rsidR="003819AD" w:rsidRPr="00D10BD5">
        <w:rPr>
          <w:lang w:val="en-GB"/>
        </w:rPr>
        <w:t>of this document are</w:t>
      </w:r>
      <w:r w:rsidR="00D10BD5" w:rsidRPr="00D10BD5">
        <w:rPr>
          <w:lang w:val="en-GB"/>
        </w:rPr>
        <w:t xml:space="preserve"> also</w:t>
      </w:r>
      <w:r w:rsidR="003819AD" w:rsidRPr="00D10BD5">
        <w:rPr>
          <w:lang w:val="en-GB"/>
        </w:rPr>
        <w:t xml:space="preserve"> not in</w:t>
      </w:r>
      <w:r w:rsidR="006578FA" w:rsidRPr="00D10BD5">
        <w:rPr>
          <w:lang w:val="en-GB"/>
        </w:rPr>
        <w:t xml:space="preserve"> the file. </w:t>
      </w:r>
    </w:p>
    <w:p w:rsidR="00FE5CF6" w:rsidRPr="00FE5CF6" w:rsidRDefault="00FE5CF6" w:rsidP="00FE5CF6">
      <w:pPr>
        <w:pStyle w:val="ListParagraph"/>
        <w:rPr>
          <w:bCs/>
          <w:highlight w:val="green"/>
          <w:lang w:val="en-GB"/>
        </w:rPr>
      </w:pPr>
    </w:p>
    <w:p w:rsidR="003819AD" w:rsidRPr="00D10BD5" w:rsidRDefault="00FE5CF6" w:rsidP="003819AD">
      <w:pPr>
        <w:pStyle w:val="ListParagraph"/>
        <w:widowControl w:val="0"/>
        <w:numPr>
          <w:ilvl w:val="0"/>
          <w:numId w:val="2"/>
        </w:numPr>
        <w:tabs>
          <w:tab w:val="left" w:pos="360"/>
          <w:tab w:val="left" w:pos="1080"/>
        </w:tabs>
        <w:jc w:val="both"/>
        <w:rPr>
          <w:bCs/>
          <w:lang w:val="en-GB"/>
        </w:rPr>
      </w:pPr>
      <w:r w:rsidRPr="00D10BD5">
        <w:rPr>
          <w:bCs/>
          <w:lang w:val="en-GB"/>
        </w:rPr>
        <w:t>The next document in the file is a memorandum</w:t>
      </w:r>
      <w:r w:rsidR="00D10BD5" w:rsidRPr="00D10BD5">
        <w:rPr>
          <w:bCs/>
          <w:lang w:val="en-GB"/>
        </w:rPr>
        <w:t>, dated 26 February 2000, from</w:t>
      </w:r>
      <w:r w:rsidRPr="00D10BD5">
        <w:rPr>
          <w:bCs/>
          <w:lang w:val="en-GB"/>
        </w:rPr>
        <w:t xml:space="preserve"> the</w:t>
      </w:r>
      <w:r w:rsidR="00A80C08" w:rsidRPr="00D10BD5">
        <w:rPr>
          <w:bCs/>
          <w:lang w:val="en-GB"/>
        </w:rPr>
        <w:t xml:space="preserve"> UNMIK</w:t>
      </w:r>
      <w:r w:rsidRPr="00D10BD5">
        <w:rPr>
          <w:bCs/>
          <w:lang w:val="en-GB"/>
        </w:rPr>
        <w:t xml:space="preserve"> MPU to the Police Regional Commanders in Prishtinë/Priština, </w:t>
      </w:r>
      <w:proofErr w:type="spellStart"/>
      <w:r w:rsidRPr="00D10BD5">
        <w:rPr>
          <w:bCs/>
          <w:lang w:val="en-GB"/>
        </w:rPr>
        <w:t>Prizren</w:t>
      </w:r>
      <w:proofErr w:type="spellEnd"/>
      <w:r w:rsidRPr="00D10BD5">
        <w:rPr>
          <w:bCs/>
          <w:lang w:val="en-GB"/>
        </w:rPr>
        <w:t xml:space="preserve">, </w:t>
      </w:r>
      <w:proofErr w:type="spellStart"/>
      <w:r w:rsidR="001B6ABE" w:rsidRPr="00D10BD5">
        <w:rPr>
          <w:bCs/>
          <w:lang w:val="en-GB"/>
        </w:rPr>
        <w:t>Gjilan</w:t>
      </w:r>
      <w:proofErr w:type="spellEnd"/>
      <w:r w:rsidR="001B6ABE" w:rsidRPr="00D10BD5">
        <w:rPr>
          <w:bCs/>
          <w:lang w:val="en-GB"/>
        </w:rPr>
        <w:t>/</w:t>
      </w:r>
      <w:proofErr w:type="spellStart"/>
      <w:r w:rsidR="001B6ABE" w:rsidRPr="00D10BD5">
        <w:rPr>
          <w:bCs/>
          <w:lang w:val="en-GB"/>
        </w:rPr>
        <w:t>Gnjilane</w:t>
      </w:r>
      <w:proofErr w:type="spellEnd"/>
      <w:r w:rsidR="001B6ABE" w:rsidRPr="00D10BD5">
        <w:rPr>
          <w:bCs/>
          <w:lang w:val="en-GB"/>
        </w:rPr>
        <w:t xml:space="preserve">, </w:t>
      </w:r>
      <w:r w:rsidRPr="00D10BD5">
        <w:rPr>
          <w:bCs/>
          <w:lang w:val="en-GB"/>
        </w:rPr>
        <w:t>Pejë/Peć and Mitrovicë/Mitrovica, to the Chief of the Cr</w:t>
      </w:r>
      <w:r w:rsidR="00A80C08" w:rsidRPr="00D10BD5">
        <w:rPr>
          <w:bCs/>
          <w:lang w:val="en-GB"/>
        </w:rPr>
        <w:t>iminal Investigation Unit</w:t>
      </w:r>
      <w:r w:rsidRPr="00D10BD5">
        <w:rPr>
          <w:bCs/>
          <w:lang w:val="en-GB"/>
        </w:rPr>
        <w:t xml:space="preserve">, </w:t>
      </w:r>
      <w:r w:rsidR="0028109E" w:rsidRPr="00D10BD5">
        <w:rPr>
          <w:bCs/>
          <w:lang w:val="en-GB"/>
        </w:rPr>
        <w:t xml:space="preserve">the Chief Border Police and </w:t>
      </w:r>
      <w:r w:rsidRPr="00D10BD5">
        <w:rPr>
          <w:bCs/>
          <w:lang w:val="en-GB"/>
        </w:rPr>
        <w:t>KFO</w:t>
      </w:r>
      <w:r w:rsidR="00D10BD5" w:rsidRPr="00D10BD5">
        <w:rPr>
          <w:bCs/>
          <w:lang w:val="en-GB"/>
        </w:rPr>
        <w:t>R</w:t>
      </w:r>
      <w:r w:rsidR="0028109E" w:rsidRPr="00D10BD5">
        <w:rPr>
          <w:bCs/>
          <w:lang w:val="en-GB"/>
        </w:rPr>
        <w:t>. The memorandum states that</w:t>
      </w:r>
      <w:r w:rsidR="00144A8B" w:rsidRPr="00D10BD5">
        <w:rPr>
          <w:bCs/>
          <w:lang w:val="en-GB"/>
        </w:rPr>
        <w:t xml:space="preserve"> </w:t>
      </w:r>
      <w:r w:rsidR="0028109E" w:rsidRPr="00D10BD5">
        <w:rPr>
          <w:bCs/>
          <w:lang w:val="en-GB"/>
        </w:rPr>
        <w:t xml:space="preserve">the MPU had registered </w:t>
      </w:r>
      <w:r w:rsidR="0028109E" w:rsidRPr="00D10BD5">
        <w:rPr>
          <w:lang w:val="en-GB"/>
        </w:rPr>
        <w:t xml:space="preserve">Mr </w:t>
      </w:r>
      <w:proofErr w:type="spellStart"/>
      <w:r w:rsidR="0028109E" w:rsidRPr="00D10BD5">
        <w:rPr>
          <w:lang w:val="en-GB"/>
        </w:rPr>
        <w:t>Ðorđe</w:t>
      </w:r>
      <w:proofErr w:type="spellEnd"/>
      <w:r w:rsidR="0028109E" w:rsidRPr="00D10BD5">
        <w:rPr>
          <w:lang w:val="en-GB"/>
        </w:rPr>
        <w:t xml:space="preserve"> </w:t>
      </w:r>
      <w:proofErr w:type="spellStart"/>
      <w:r w:rsidR="0028109E" w:rsidRPr="00D10BD5">
        <w:rPr>
          <w:lang w:val="en-GB"/>
        </w:rPr>
        <w:t>Kuzmanović</w:t>
      </w:r>
      <w:proofErr w:type="spellEnd"/>
      <w:r w:rsidR="0028109E" w:rsidRPr="00D10BD5">
        <w:rPr>
          <w:lang w:val="en-GB"/>
        </w:rPr>
        <w:t xml:space="preserve"> </w:t>
      </w:r>
      <w:r w:rsidR="00F831A4" w:rsidRPr="00D10BD5">
        <w:rPr>
          <w:lang w:val="en-GB"/>
        </w:rPr>
        <w:t>as a missing person</w:t>
      </w:r>
      <w:r w:rsidR="00144A8B" w:rsidRPr="00D10BD5">
        <w:rPr>
          <w:bCs/>
          <w:lang w:val="en-GB"/>
        </w:rPr>
        <w:t xml:space="preserve"> following the report made by his sister</w:t>
      </w:r>
      <w:r w:rsidR="00F831A4" w:rsidRPr="00D10BD5">
        <w:rPr>
          <w:lang w:val="en-GB"/>
        </w:rPr>
        <w:t xml:space="preserve">. It was therefore </w:t>
      </w:r>
      <w:r w:rsidR="0028109E" w:rsidRPr="00D10BD5">
        <w:rPr>
          <w:lang w:val="en-GB"/>
        </w:rPr>
        <w:t>requested</w:t>
      </w:r>
      <w:r w:rsidR="00F831A4" w:rsidRPr="00D10BD5">
        <w:rPr>
          <w:lang w:val="en-GB"/>
        </w:rPr>
        <w:t xml:space="preserve"> from</w:t>
      </w:r>
      <w:r w:rsidR="0028109E" w:rsidRPr="00D10BD5">
        <w:rPr>
          <w:lang w:val="en-GB"/>
        </w:rPr>
        <w:t xml:space="preserve"> all concerned offices to check their records and sources in an effort </w:t>
      </w:r>
      <w:r w:rsidR="00F831A4" w:rsidRPr="00D10BD5">
        <w:rPr>
          <w:lang w:val="en-GB"/>
        </w:rPr>
        <w:t xml:space="preserve">to gather </w:t>
      </w:r>
      <w:r w:rsidR="00F831A4" w:rsidRPr="00D10BD5">
        <w:rPr>
          <w:lang w:val="en-GB"/>
        </w:rPr>
        <w:lastRenderedPageBreak/>
        <w:t>additional information about his disappearance. Included in the file are also the negative responses</w:t>
      </w:r>
      <w:r w:rsidR="00144A8B" w:rsidRPr="00D10BD5">
        <w:rPr>
          <w:lang w:val="en-GB"/>
        </w:rPr>
        <w:t xml:space="preserve"> to this request received</w:t>
      </w:r>
      <w:r w:rsidR="00F831A4" w:rsidRPr="00D10BD5">
        <w:rPr>
          <w:lang w:val="en-GB"/>
        </w:rPr>
        <w:t xml:space="preserve"> from the </w:t>
      </w:r>
      <w:proofErr w:type="spellStart"/>
      <w:r w:rsidR="00F831A4" w:rsidRPr="00D10BD5">
        <w:rPr>
          <w:lang w:val="en-GB"/>
        </w:rPr>
        <w:t>Prizren</w:t>
      </w:r>
      <w:proofErr w:type="spellEnd"/>
      <w:r w:rsidR="00F831A4" w:rsidRPr="00D10BD5">
        <w:rPr>
          <w:lang w:val="en-GB"/>
        </w:rPr>
        <w:t>, Prishtinë/Priština and Pejë/Peć</w:t>
      </w:r>
      <w:r w:rsidR="00D10BD5" w:rsidRPr="00D10BD5">
        <w:rPr>
          <w:lang w:val="en-GB"/>
        </w:rPr>
        <w:t xml:space="preserve"> Regional Investigation U</w:t>
      </w:r>
      <w:r w:rsidR="00F831A4" w:rsidRPr="00D10BD5">
        <w:rPr>
          <w:lang w:val="en-GB"/>
        </w:rPr>
        <w:t>nits</w:t>
      </w:r>
      <w:r w:rsidR="00144A8B" w:rsidRPr="00D10BD5">
        <w:rPr>
          <w:lang w:val="en-GB"/>
        </w:rPr>
        <w:t xml:space="preserve"> on</w:t>
      </w:r>
      <w:r w:rsidR="00F831A4" w:rsidRPr="00D10BD5">
        <w:rPr>
          <w:lang w:val="en-GB"/>
        </w:rPr>
        <w:t xml:space="preserve"> 1 March, 5 March and 18 March 2000 respectively.  </w:t>
      </w:r>
    </w:p>
    <w:p w:rsidR="003819AD" w:rsidRPr="00D10BD5" w:rsidRDefault="003819AD" w:rsidP="003819AD">
      <w:pPr>
        <w:pStyle w:val="ListParagraph"/>
        <w:rPr>
          <w:lang w:val="en-GB"/>
        </w:rPr>
      </w:pPr>
    </w:p>
    <w:p w:rsidR="00EF6F9F" w:rsidRPr="00D10BD5" w:rsidRDefault="00A62C6D" w:rsidP="003819AD">
      <w:pPr>
        <w:pStyle w:val="ListParagraph"/>
        <w:widowControl w:val="0"/>
        <w:numPr>
          <w:ilvl w:val="0"/>
          <w:numId w:val="2"/>
        </w:numPr>
        <w:tabs>
          <w:tab w:val="left" w:pos="360"/>
          <w:tab w:val="left" w:pos="1080"/>
        </w:tabs>
        <w:jc w:val="both"/>
        <w:rPr>
          <w:bCs/>
          <w:lang w:val="en-GB"/>
        </w:rPr>
      </w:pPr>
      <w:r w:rsidRPr="00D10BD5">
        <w:rPr>
          <w:lang w:val="en-GB"/>
        </w:rPr>
        <w:t xml:space="preserve">The </w:t>
      </w:r>
      <w:r w:rsidR="00EF6F9F" w:rsidRPr="00D10BD5">
        <w:rPr>
          <w:lang w:val="en-GB"/>
        </w:rPr>
        <w:t>file contains a</w:t>
      </w:r>
      <w:r w:rsidR="003819AD" w:rsidRPr="00D10BD5">
        <w:rPr>
          <w:lang w:val="en-GB"/>
        </w:rPr>
        <w:t>n MPU</w:t>
      </w:r>
      <w:r w:rsidR="00EF6F9F" w:rsidRPr="00D10BD5">
        <w:rPr>
          <w:lang w:val="en-GB"/>
        </w:rPr>
        <w:t xml:space="preserve"> Case Continuation Report for </w:t>
      </w:r>
      <w:r w:rsidR="000944B0" w:rsidRPr="00D10BD5">
        <w:rPr>
          <w:lang w:val="en-GB"/>
        </w:rPr>
        <w:t xml:space="preserve">the case of Mr </w:t>
      </w:r>
      <w:proofErr w:type="spellStart"/>
      <w:r w:rsidR="000944B0" w:rsidRPr="00D10BD5">
        <w:rPr>
          <w:lang w:val="en-GB"/>
        </w:rPr>
        <w:t>Ðorđe</w:t>
      </w:r>
      <w:proofErr w:type="spellEnd"/>
      <w:r w:rsidR="000944B0" w:rsidRPr="00D10BD5">
        <w:rPr>
          <w:lang w:val="en-GB"/>
        </w:rPr>
        <w:t xml:space="preserve"> </w:t>
      </w:r>
      <w:proofErr w:type="spellStart"/>
      <w:r w:rsidR="000944B0" w:rsidRPr="00D10BD5">
        <w:rPr>
          <w:lang w:val="en-GB"/>
        </w:rPr>
        <w:t>Kuzmanović</w:t>
      </w:r>
      <w:proofErr w:type="spellEnd"/>
      <w:r w:rsidR="00D10BD5" w:rsidRPr="00D10BD5">
        <w:rPr>
          <w:lang w:val="en-GB"/>
        </w:rPr>
        <w:t>,</w:t>
      </w:r>
      <w:r w:rsidR="003819AD" w:rsidRPr="00D10BD5">
        <w:rPr>
          <w:lang w:val="en-GB"/>
        </w:rPr>
        <w:t xml:space="preserve"> affixed with</w:t>
      </w:r>
      <w:r w:rsidR="00EF6F9F" w:rsidRPr="00D10BD5">
        <w:rPr>
          <w:lang w:val="en-GB"/>
        </w:rPr>
        <w:t xml:space="preserve"> case no. 1999-000119. Th</w:t>
      </w:r>
      <w:r w:rsidR="00E11EBA" w:rsidRPr="00D10BD5">
        <w:rPr>
          <w:lang w:val="en-GB"/>
        </w:rPr>
        <w:t>e Report lists six entries</w:t>
      </w:r>
      <w:r w:rsidR="00EF6F9F" w:rsidRPr="00D10BD5">
        <w:rPr>
          <w:lang w:val="en-GB"/>
        </w:rPr>
        <w:t xml:space="preserve"> from 25 June 2000 to 15 July 2003, in which ante-mortem data concerning Mr </w:t>
      </w:r>
      <w:proofErr w:type="spellStart"/>
      <w:r w:rsidR="00EF6F9F" w:rsidRPr="00D10BD5">
        <w:rPr>
          <w:lang w:val="en-GB"/>
        </w:rPr>
        <w:t>Ðorđe</w:t>
      </w:r>
      <w:proofErr w:type="spellEnd"/>
      <w:r w:rsidR="00EF6F9F" w:rsidRPr="00D10BD5">
        <w:rPr>
          <w:lang w:val="en-GB"/>
        </w:rPr>
        <w:t xml:space="preserve"> </w:t>
      </w:r>
      <w:proofErr w:type="spellStart"/>
      <w:r w:rsidR="00EF6F9F" w:rsidRPr="00D10BD5">
        <w:rPr>
          <w:lang w:val="en-GB"/>
        </w:rPr>
        <w:t>Kuzmanović</w:t>
      </w:r>
      <w:proofErr w:type="spellEnd"/>
      <w:r w:rsidR="00EF6F9F" w:rsidRPr="00D10BD5">
        <w:rPr>
          <w:lang w:val="en-GB"/>
        </w:rPr>
        <w:t xml:space="preserve"> was inputted into the database. </w:t>
      </w:r>
      <w:r w:rsidR="003819AD" w:rsidRPr="00D10BD5">
        <w:rPr>
          <w:lang w:val="en-GB"/>
        </w:rPr>
        <w:t xml:space="preserve">Included in the file is </w:t>
      </w:r>
      <w:r w:rsidR="001B6ABE" w:rsidRPr="00D10BD5">
        <w:rPr>
          <w:lang w:val="en-GB"/>
        </w:rPr>
        <w:t xml:space="preserve">an undated ICRC Victim Identification Form for Mr </w:t>
      </w:r>
      <w:proofErr w:type="spellStart"/>
      <w:r w:rsidR="001B6ABE" w:rsidRPr="00D10BD5">
        <w:rPr>
          <w:lang w:val="en-GB"/>
        </w:rPr>
        <w:t>Ðorđe</w:t>
      </w:r>
      <w:proofErr w:type="spellEnd"/>
      <w:r w:rsidR="001B6ABE" w:rsidRPr="00D10BD5">
        <w:rPr>
          <w:lang w:val="en-GB"/>
        </w:rPr>
        <w:t xml:space="preserve"> </w:t>
      </w:r>
      <w:proofErr w:type="spellStart"/>
      <w:r w:rsidR="001B6ABE" w:rsidRPr="00D10BD5">
        <w:rPr>
          <w:lang w:val="en-GB"/>
        </w:rPr>
        <w:t>Kuzmanović</w:t>
      </w:r>
      <w:proofErr w:type="spellEnd"/>
      <w:r w:rsidR="003819AD" w:rsidRPr="00D10BD5">
        <w:rPr>
          <w:lang w:val="en-GB"/>
        </w:rPr>
        <w:t>, also</w:t>
      </w:r>
      <w:r w:rsidR="001B6ABE" w:rsidRPr="00D10BD5">
        <w:rPr>
          <w:lang w:val="en-GB"/>
        </w:rPr>
        <w:t xml:space="preserve"> </w:t>
      </w:r>
      <w:r w:rsidR="003819AD" w:rsidRPr="00D10BD5">
        <w:rPr>
          <w:lang w:val="en-GB"/>
        </w:rPr>
        <w:t>affixed with case no. 1999-000119. B</w:t>
      </w:r>
      <w:r w:rsidR="001B6ABE" w:rsidRPr="00D10BD5">
        <w:rPr>
          <w:lang w:val="en-GB"/>
        </w:rPr>
        <w:t>esides containing</w:t>
      </w:r>
      <w:r w:rsidR="003819AD" w:rsidRPr="00D10BD5">
        <w:rPr>
          <w:lang w:val="en-GB"/>
        </w:rPr>
        <w:t xml:space="preserve"> Mr </w:t>
      </w:r>
      <w:proofErr w:type="spellStart"/>
      <w:r w:rsidR="003819AD" w:rsidRPr="00D10BD5">
        <w:rPr>
          <w:lang w:val="en-GB"/>
        </w:rPr>
        <w:t>Ðorđe</w:t>
      </w:r>
      <w:proofErr w:type="spellEnd"/>
      <w:r w:rsidR="003819AD" w:rsidRPr="00D10BD5">
        <w:rPr>
          <w:lang w:val="en-GB"/>
        </w:rPr>
        <w:t xml:space="preserve"> </w:t>
      </w:r>
      <w:proofErr w:type="spellStart"/>
      <w:r w:rsidR="003819AD" w:rsidRPr="00D10BD5">
        <w:rPr>
          <w:lang w:val="en-GB"/>
        </w:rPr>
        <w:t>Kuzmanović’s</w:t>
      </w:r>
      <w:proofErr w:type="spellEnd"/>
      <w:r w:rsidR="003819AD" w:rsidRPr="00D10BD5">
        <w:rPr>
          <w:lang w:val="en-GB"/>
        </w:rPr>
        <w:t xml:space="preserve"> </w:t>
      </w:r>
      <w:r w:rsidR="001B6ABE" w:rsidRPr="00D10BD5">
        <w:rPr>
          <w:lang w:val="en-GB"/>
        </w:rPr>
        <w:t>ante-mortem information and photograph,</w:t>
      </w:r>
      <w:r w:rsidR="003819AD" w:rsidRPr="00D10BD5">
        <w:rPr>
          <w:lang w:val="en-GB"/>
        </w:rPr>
        <w:t xml:space="preserve"> the Form </w:t>
      </w:r>
      <w:r w:rsidR="001B6ABE" w:rsidRPr="00D10BD5">
        <w:rPr>
          <w:lang w:val="en-GB"/>
        </w:rPr>
        <w:t xml:space="preserve">provides the address and telephone number of </w:t>
      </w:r>
      <w:r w:rsidR="003819AD" w:rsidRPr="00D10BD5">
        <w:rPr>
          <w:lang w:val="en-GB"/>
        </w:rPr>
        <w:t xml:space="preserve">his </w:t>
      </w:r>
      <w:r w:rsidR="001B6ABE" w:rsidRPr="00D10BD5">
        <w:rPr>
          <w:lang w:val="en-GB"/>
        </w:rPr>
        <w:t xml:space="preserve">brother </w:t>
      </w:r>
      <w:r w:rsidR="003819AD" w:rsidRPr="00D10BD5">
        <w:rPr>
          <w:lang w:val="en-GB"/>
        </w:rPr>
        <w:t>in Serbia proper</w:t>
      </w:r>
      <w:r w:rsidR="001B6ABE" w:rsidRPr="00D10BD5">
        <w:rPr>
          <w:lang w:val="en-GB"/>
        </w:rPr>
        <w:t xml:space="preserve">. </w:t>
      </w:r>
    </w:p>
    <w:p w:rsidR="00E11EBA" w:rsidRPr="00E11EBA" w:rsidRDefault="00E11EBA" w:rsidP="00E11EBA">
      <w:pPr>
        <w:pStyle w:val="ListParagraph"/>
        <w:widowControl w:val="0"/>
        <w:tabs>
          <w:tab w:val="left" w:pos="1080"/>
        </w:tabs>
        <w:ind w:left="360"/>
        <w:jc w:val="both"/>
        <w:rPr>
          <w:bCs/>
          <w:lang w:val="en-GB"/>
        </w:rPr>
      </w:pPr>
    </w:p>
    <w:p w:rsidR="00E11EBA" w:rsidRPr="00D10BD5" w:rsidRDefault="00E11EBA" w:rsidP="00A62C6D">
      <w:pPr>
        <w:pStyle w:val="ListParagraph"/>
        <w:widowControl w:val="0"/>
        <w:numPr>
          <w:ilvl w:val="0"/>
          <w:numId w:val="2"/>
        </w:numPr>
        <w:tabs>
          <w:tab w:val="left" w:pos="360"/>
          <w:tab w:val="num" w:pos="630"/>
          <w:tab w:val="left" w:pos="1080"/>
        </w:tabs>
        <w:jc w:val="both"/>
        <w:rPr>
          <w:bCs/>
          <w:lang w:val="en-GB"/>
        </w:rPr>
      </w:pPr>
      <w:r w:rsidRPr="00D10BD5">
        <w:rPr>
          <w:lang w:val="en-GB"/>
        </w:rPr>
        <w:t>The file also</w:t>
      </w:r>
      <w:r w:rsidR="003819AD" w:rsidRPr="00D10BD5">
        <w:rPr>
          <w:lang w:val="en-GB"/>
        </w:rPr>
        <w:t xml:space="preserve"> includes</w:t>
      </w:r>
      <w:r w:rsidR="00A80C08" w:rsidRPr="00D10BD5">
        <w:rPr>
          <w:lang w:val="en-GB"/>
        </w:rPr>
        <w:t xml:space="preserve"> an internal</w:t>
      </w:r>
      <w:r w:rsidR="003819AD" w:rsidRPr="00D10BD5">
        <w:rPr>
          <w:lang w:val="en-GB"/>
        </w:rPr>
        <w:t xml:space="preserve"> e-mail</w:t>
      </w:r>
      <w:r w:rsidR="00A80C08" w:rsidRPr="00D10BD5">
        <w:rPr>
          <w:lang w:val="en-GB"/>
        </w:rPr>
        <w:t xml:space="preserve"> of the UNMIK MPU</w:t>
      </w:r>
      <w:r w:rsidR="00D10BD5" w:rsidRPr="00D10BD5">
        <w:rPr>
          <w:lang w:val="en-GB"/>
        </w:rPr>
        <w:t xml:space="preserve">, </w:t>
      </w:r>
      <w:r w:rsidR="003819AD" w:rsidRPr="00D10BD5">
        <w:rPr>
          <w:lang w:val="en-GB"/>
        </w:rPr>
        <w:t>dated 20 April 2003</w:t>
      </w:r>
      <w:r w:rsidR="00D10BD5" w:rsidRPr="00D10BD5">
        <w:rPr>
          <w:lang w:val="en-GB"/>
        </w:rPr>
        <w:t>,</w:t>
      </w:r>
      <w:r w:rsidRPr="00D10BD5">
        <w:rPr>
          <w:lang w:val="en-GB"/>
        </w:rPr>
        <w:t xml:space="preserve"> related to the case of Mr </w:t>
      </w:r>
      <w:proofErr w:type="spellStart"/>
      <w:r w:rsidRPr="00D10BD5">
        <w:rPr>
          <w:lang w:val="en-GB"/>
        </w:rPr>
        <w:t>Ðorđe</w:t>
      </w:r>
      <w:proofErr w:type="spellEnd"/>
      <w:r w:rsidRPr="00D10BD5">
        <w:rPr>
          <w:lang w:val="en-GB"/>
        </w:rPr>
        <w:t xml:space="preserve"> </w:t>
      </w:r>
      <w:proofErr w:type="spellStart"/>
      <w:r w:rsidRPr="00D10BD5">
        <w:rPr>
          <w:lang w:val="en-GB"/>
        </w:rPr>
        <w:t>Kuzmanović</w:t>
      </w:r>
      <w:proofErr w:type="spellEnd"/>
      <w:r w:rsidR="003819AD" w:rsidRPr="00D10BD5">
        <w:rPr>
          <w:lang w:val="en-GB"/>
        </w:rPr>
        <w:t xml:space="preserve"> </w:t>
      </w:r>
      <w:r w:rsidRPr="00D10BD5">
        <w:rPr>
          <w:lang w:val="en-GB"/>
        </w:rPr>
        <w:t>which states that his mortal remains had be</w:t>
      </w:r>
      <w:r w:rsidR="00882198" w:rsidRPr="00D10BD5">
        <w:rPr>
          <w:lang w:val="en-GB"/>
        </w:rPr>
        <w:t>en found on 10 February 2002 and that a family visit needed to be made in order to arrange their handover. In the field “Status of investigation” the e-mail reads</w:t>
      </w:r>
      <w:r w:rsidR="00144A8B" w:rsidRPr="00D10BD5">
        <w:rPr>
          <w:lang w:val="en-GB"/>
        </w:rPr>
        <w:t>:</w:t>
      </w:r>
      <w:r w:rsidR="00882198" w:rsidRPr="00D10BD5">
        <w:rPr>
          <w:lang w:val="en-GB"/>
        </w:rPr>
        <w:t xml:space="preserve"> “No current investigation. </w:t>
      </w:r>
      <w:proofErr w:type="spellStart"/>
      <w:r w:rsidR="00882198" w:rsidRPr="00D10BD5">
        <w:rPr>
          <w:lang w:val="en-GB"/>
        </w:rPr>
        <w:t>Pec</w:t>
      </w:r>
      <w:proofErr w:type="spellEnd"/>
      <w:r w:rsidR="00882198" w:rsidRPr="00D10BD5">
        <w:rPr>
          <w:lang w:val="en-GB"/>
        </w:rPr>
        <w:t xml:space="preserve"> RIU has been informed of the identification and may reopen the file”. </w:t>
      </w:r>
      <w:r w:rsidR="004C4BD7" w:rsidRPr="00D10BD5">
        <w:rPr>
          <w:lang w:val="en-GB"/>
        </w:rPr>
        <w:t>In the file</w:t>
      </w:r>
      <w:r w:rsidR="00882198" w:rsidRPr="00D10BD5">
        <w:rPr>
          <w:lang w:val="en-GB"/>
        </w:rPr>
        <w:t xml:space="preserve"> are copies of </w:t>
      </w:r>
      <w:r w:rsidR="00DA7FBF" w:rsidRPr="00D10BD5">
        <w:rPr>
          <w:lang w:val="en-GB"/>
        </w:rPr>
        <w:t xml:space="preserve">the </w:t>
      </w:r>
      <w:r w:rsidR="00882198" w:rsidRPr="00D10BD5">
        <w:rPr>
          <w:lang w:val="en-GB"/>
        </w:rPr>
        <w:t>Death Certificate</w:t>
      </w:r>
      <w:r w:rsidR="00DA7FBF" w:rsidRPr="00D10BD5">
        <w:rPr>
          <w:lang w:val="en-GB"/>
        </w:rPr>
        <w:t xml:space="preserve"> and Identification Certificate issued by the OMPF stating that, </w:t>
      </w:r>
      <w:r w:rsidR="004C4BD7" w:rsidRPr="00D10BD5">
        <w:rPr>
          <w:lang w:val="en-GB"/>
        </w:rPr>
        <w:t xml:space="preserve">according to an autopsy conducted </w:t>
      </w:r>
      <w:r w:rsidR="00E77371" w:rsidRPr="00D10BD5">
        <w:rPr>
          <w:lang w:val="en-GB"/>
        </w:rPr>
        <w:t>in December 2002</w:t>
      </w:r>
      <w:r w:rsidR="00DA7FBF" w:rsidRPr="00D10BD5">
        <w:rPr>
          <w:lang w:val="en-GB"/>
        </w:rPr>
        <w:t xml:space="preserve">, Mr </w:t>
      </w:r>
      <w:proofErr w:type="spellStart"/>
      <w:r w:rsidR="00DA7FBF" w:rsidRPr="00D10BD5">
        <w:rPr>
          <w:lang w:val="en-GB"/>
        </w:rPr>
        <w:t>Ðorđe</w:t>
      </w:r>
      <w:proofErr w:type="spellEnd"/>
      <w:r w:rsidR="00DA7FBF" w:rsidRPr="00D10BD5">
        <w:rPr>
          <w:lang w:val="en-GB"/>
        </w:rPr>
        <w:t xml:space="preserve"> </w:t>
      </w:r>
      <w:proofErr w:type="spellStart"/>
      <w:r w:rsidR="00DA7FBF" w:rsidRPr="00D10BD5">
        <w:rPr>
          <w:lang w:val="en-GB"/>
        </w:rPr>
        <w:t>Kuzmanović’s</w:t>
      </w:r>
      <w:proofErr w:type="spellEnd"/>
      <w:r w:rsidR="00DA7FBF" w:rsidRPr="00D10BD5">
        <w:rPr>
          <w:lang w:val="en-GB"/>
        </w:rPr>
        <w:t xml:space="preserve"> </w:t>
      </w:r>
      <w:r w:rsidR="004C4BD7" w:rsidRPr="00D10BD5">
        <w:rPr>
          <w:lang w:val="en-GB"/>
        </w:rPr>
        <w:t xml:space="preserve">death was caused by </w:t>
      </w:r>
      <w:r w:rsidR="00DA7FBF" w:rsidRPr="00D10BD5">
        <w:rPr>
          <w:lang w:val="en-GB"/>
        </w:rPr>
        <w:t>“ballistic injuries to the spine”.</w:t>
      </w:r>
      <w:r w:rsidR="004C4BD7" w:rsidRPr="00D10BD5">
        <w:rPr>
          <w:lang w:val="en-GB"/>
        </w:rPr>
        <w:t xml:space="preserve"> </w:t>
      </w:r>
      <w:r w:rsidR="00640645">
        <w:rPr>
          <w:lang w:val="en-GB"/>
        </w:rPr>
        <w:t>An IC</w:t>
      </w:r>
      <w:r w:rsidR="00580C37" w:rsidRPr="00D10BD5">
        <w:rPr>
          <w:lang w:val="en-GB"/>
        </w:rPr>
        <w:t>M</w:t>
      </w:r>
      <w:r w:rsidR="00640645">
        <w:rPr>
          <w:lang w:val="en-GB"/>
        </w:rPr>
        <w:t>P</w:t>
      </w:r>
      <w:r w:rsidR="00580C37" w:rsidRPr="00D10BD5">
        <w:rPr>
          <w:lang w:val="en-GB"/>
        </w:rPr>
        <w:t xml:space="preserve"> DNA report dated 14 March 2003 and an OMPF Confirmation of Identity Certificate dated 7 April 2003 are also included in the file. Further</w:t>
      </w:r>
      <w:r w:rsidR="00E77371" w:rsidRPr="00D10BD5">
        <w:rPr>
          <w:lang w:val="en-GB"/>
        </w:rPr>
        <w:t xml:space="preserve"> OMPF documentation shows that</w:t>
      </w:r>
      <w:r w:rsidR="00DA7FBF" w:rsidRPr="00D10BD5">
        <w:rPr>
          <w:lang w:val="en-GB"/>
        </w:rPr>
        <w:t xml:space="preserve"> </w:t>
      </w:r>
      <w:r w:rsidR="00580C37" w:rsidRPr="00D10BD5">
        <w:rPr>
          <w:lang w:val="en-GB"/>
        </w:rPr>
        <w:t>the</w:t>
      </w:r>
      <w:r w:rsidR="00DA7FBF" w:rsidRPr="00D10BD5">
        <w:rPr>
          <w:lang w:val="en-GB"/>
        </w:rPr>
        <w:t xml:space="preserve"> mortal remains</w:t>
      </w:r>
      <w:r w:rsidR="00580C37" w:rsidRPr="00D10BD5">
        <w:rPr>
          <w:lang w:val="en-GB"/>
        </w:rPr>
        <w:t xml:space="preserve"> of Mr </w:t>
      </w:r>
      <w:proofErr w:type="spellStart"/>
      <w:r w:rsidR="00580C37" w:rsidRPr="00D10BD5">
        <w:rPr>
          <w:lang w:val="en-GB"/>
        </w:rPr>
        <w:t>Ðorđe</w:t>
      </w:r>
      <w:proofErr w:type="spellEnd"/>
      <w:r w:rsidR="00580C37" w:rsidRPr="00D10BD5">
        <w:rPr>
          <w:lang w:val="en-GB"/>
        </w:rPr>
        <w:t xml:space="preserve"> </w:t>
      </w:r>
      <w:proofErr w:type="spellStart"/>
      <w:r w:rsidR="00580C37" w:rsidRPr="00D10BD5">
        <w:rPr>
          <w:lang w:val="en-GB"/>
        </w:rPr>
        <w:t>Kuzmanović</w:t>
      </w:r>
      <w:proofErr w:type="spellEnd"/>
      <w:r w:rsidR="00DA7FBF" w:rsidRPr="00D10BD5">
        <w:rPr>
          <w:lang w:val="en-GB"/>
        </w:rPr>
        <w:t xml:space="preserve"> were returned to his family</w:t>
      </w:r>
      <w:r w:rsidR="00E77371" w:rsidRPr="00D10BD5">
        <w:rPr>
          <w:lang w:val="en-GB"/>
        </w:rPr>
        <w:t xml:space="preserve"> on 23 May 2003</w:t>
      </w:r>
      <w:r w:rsidR="00DA7FBF" w:rsidRPr="00D10BD5">
        <w:rPr>
          <w:lang w:val="en-GB"/>
        </w:rPr>
        <w:t xml:space="preserve">. </w:t>
      </w:r>
    </w:p>
    <w:p w:rsidR="004C4BD7" w:rsidRPr="004C4BD7" w:rsidRDefault="004C4BD7" w:rsidP="004C4BD7">
      <w:pPr>
        <w:pStyle w:val="ListParagraph"/>
        <w:rPr>
          <w:bCs/>
          <w:highlight w:val="yellow"/>
          <w:lang w:val="en-GB"/>
        </w:rPr>
      </w:pPr>
    </w:p>
    <w:p w:rsidR="00A62A15" w:rsidRPr="00D10BD5" w:rsidRDefault="00D10BD5" w:rsidP="00A62C6D">
      <w:pPr>
        <w:pStyle w:val="ListParagraph"/>
        <w:widowControl w:val="0"/>
        <w:numPr>
          <w:ilvl w:val="0"/>
          <w:numId w:val="2"/>
        </w:numPr>
        <w:tabs>
          <w:tab w:val="left" w:pos="360"/>
          <w:tab w:val="num" w:pos="630"/>
          <w:tab w:val="left" w:pos="1080"/>
        </w:tabs>
        <w:jc w:val="both"/>
        <w:rPr>
          <w:bCs/>
          <w:lang w:val="en-GB"/>
        </w:rPr>
      </w:pPr>
      <w:r w:rsidRPr="00D10BD5">
        <w:rPr>
          <w:bCs/>
          <w:lang w:val="en-GB"/>
        </w:rPr>
        <w:t xml:space="preserve">The file </w:t>
      </w:r>
      <w:r w:rsidR="00144A8B" w:rsidRPr="00D10BD5">
        <w:rPr>
          <w:bCs/>
          <w:lang w:val="en-GB"/>
        </w:rPr>
        <w:t>shows that, o</w:t>
      </w:r>
      <w:r w:rsidR="00CD43C8" w:rsidRPr="00D10BD5">
        <w:rPr>
          <w:bCs/>
          <w:lang w:val="en-GB"/>
        </w:rPr>
        <w:t>n 10 May 2004</w:t>
      </w:r>
      <w:r w:rsidR="00B775C7" w:rsidRPr="00D10BD5">
        <w:rPr>
          <w:bCs/>
          <w:lang w:val="en-GB"/>
        </w:rPr>
        <w:t>, the Coordination Centre for Kosovo and Metohija</w:t>
      </w:r>
      <w:r w:rsidR="00144A8B" w:rsidRPr="00D10BD5">
        <w:rPr>
          <w:bCs/>
          <w:lang w:val="en-GB"/>
        </w:rPr>
        <w:t xml:space="preserve"> on behalf of the complainant </w:t>
      </w:r>
      <w:r w:rsidR="00B775C7" w:rsidRPr="00D10BD5">
        <w:rPr>
          <w:bCs/>
          <w:lang w:val="en-GB"/>
        </w:rPr>
        <w:t>filed a crim</w:t>
      </w:r>
      <w:r w:rsidR="00A62A15" w:rsidRPr="00D10BD5">
        <w:rPr>
          <w:bCs/>
          <w:lang w:val="en-GB"/>
        </w:rPr>
        <w:t>inal complaint</w:t>
      </w:r>
      <w:r w:rsidR="00A62A15" w:rsidRPr="00D10BD5">
        <w:rPr>
          <w:lang w:val="en-GB"/>
        </w:rPr>
        <w:t xml:space="preserve"> </w:t>
      </w:r>
      <w:r w:rsidR="00B775C7" w:rsidRPr="00D10BD5">
        <w:rPr>
          <w:bCs/>
          <w:lang w:val="en-GB"/>
        </w:rPr>
        <w:t xml:space="preserve">with the International Public Prosecutor in </w:t>
      </w:r>
      <w:r w:rsidR="00B775C7" w:rsidRPr="00D10BD5">
        <w:rPr>
          <w:lang w:val="en-GB"/>
        </w:rPr>
        <w:t>Prishtinë/Priština, an English copy of which is included in the file</w:t>
      </w:r>
      <w:r w:rsidR="009946E6" w:rsidRPr="00D10BD5">
        <w:rPr>
          <w:lang w:val="en-GB"/>
        </w:rPr>
        <w:t xml:space="preserve">. The complaint is </w:t>
      </w:r>
      <w:r w:rsidR="00A62A15" w:rsidRPr="00D10BD5">
        <w:rPr>
          <w:lang w:val="en-GB"/>
        </w:rPr>
        <w:t xml:space="preserve">affixed with UNMIK Police WCIU </w:t>
      </w:r>
      <w:proofErr w:type="gramStart"/>
      <w:r w:rsidR="009946E6" w:rsidRPr="00D10BD5">
        <w:rPr>
          <w:lang w:val="en-GB"/>
        </w:rPr>
        <w:t>case file</w:t>
      </w:r>
      <w:proofErr w:type="gramEnd"/>
      <w:r w:rsidR="00A62A15" w:rsidRPr="00D10BD5">
        <w:rPr>
          <w:lang w:val="en-GB"/>
        </w:rPr>
        <w:t xml:space="preserve"> no. 2000-00104 and</w:t>
      </w:r>
      <w:r w:rsidR="009946E6" w:rsidRPr="00D10BD5">
        <w:rPr>
          <w:lang w:val="en-GB"/>
        </w:rPr>
        <w:t xml:space="preserve"> bears</w:t>
      </w:r>
      <w:r w:rsidR="00B775C7" w:rsidRPr="00D10BD5">
        <w:rPr>
          <w:lang w:val="en-GB"/>
        </w:rPr>
        <w:t xml:space="preserve"> a translation note of 15 July 2004. </w:t>
      </w:r>
      <w:r w:rsidR="00144A8B" w:rsidRPr="00D10BD5">
        <w:rPr>
          <w:lang w:val="en-GB"/>
        </w:rPr>
        <w:t>It</w:t>
      </w:r>
      <w:r w:rsidR="00B775C7" w:rsidRPr="00D10BD5">
        <w:rPr>
          <w:lang w:val="en-GB"/>
        </w:rPr>
        <w:t xml:space="preserve"> states that </w:t>
      </w:r>
      <w:proofErr w:type="spellStart"/>
      <w:r w:rsidR="00A80C08" w:rsidRPr="00D10BD5">
        <w:rPr>
          <w:lang w:val="en-GB"/>
        </w:rPr>
        <w:t>D.Ra</w:t>
      </w:r>
      <w:proofErr w:type="spellEnd"/>
      <w:r w:rsidR="000A4303" w:rsidRPr="00D10BD5">
        <w:rPr>
          <w:lang w:val="en-GB"/>
        </w:rPr>
        <w:t>.</w:t>
      </w:r>
      <w:r w:rsidR="00B775C7" w:rsidRPr="00D10BD5">
        <w:rPr>
          <w:lang w:val="en-GB"/>
        </w:rPr>
        <w:t xml:space="preserve"> from Gjakovё/Ðakovica </w:t>
      </w:r>
      <w:r w:rsidR="009946E6" w:rsidRPr="00D10BD5">
        <w:rPr>
          <w:lang w:val="en-GB"/>
        </w:rPr>
        <w:t xml:space="preserve">(the same individual mentioned in § 25 above) </w:t>
      </w:r>
      <w:r w:rsidR="00B775C7" w:rsidRPr="00D10BD5">
        <w:rPr>
          <w:lang w:val="en-GB"/>
        </w:rPr>
        <w:t>and “the son of [A.A.]</w:t>
      </w:r>
      <w:r w:rsidR="00144A8B" w:rsidRPr="00D10BD5">
        <w:rPr>
          <w:lang w:val="en-GB"/>
        </w:rPr>
        <w:t>”</w:t>
      </w:r>
      <w:r w:rsidR="00B775C7" w:rsidRPr="00D10BD5">
        <w:rPr>
          <w:lang w:val="en-GB"/>
        </w:rPr>
        <w:t xml:space="preserve"> were responsible for the kidnapping of Mr </w:t>
      </w:r>
      <w:proofErr w:type="spellStart"/>
      <w:r w:rsidR="00B775C7" w:rsidRPr="00D10BD5">
        <w:rPr>
          <w:lang w:val="en-GB"/>
        </w:rPr>
        <w:t>Ðorđe</w:t>
      </w:r>
      <w:proofErr w:type="spellEnd"/>
      <w:r w:rsidR="00B775C7" w:rsidRPr="00D10BD5">
        <w:rPr>
          <w:lang w:val="en-GB"/>
        </w:rPr>
        <w:t xml:space="preserve"> </w:t>
      </w:r>
      <w:proofErr w:type="spellStart"/>
      <w:r w:rsidR="00B775C7" w:rsidRPr="00D10BD5">
        <w:rPr>
          <w:lang w:val="en-GB"/>
        </w:rPr>
        <w:t>Kuzmanović</w:t>
      </w:r>
      <w:proofErr w:type="spellEnd"/>
      <w:r w:rsidR="00B775C7" w:rsidRPr="00D10BD5">
        <w:rPr>
          <w:lang w:val="en-GB"/>
        </w:rPr>
        <w:t xml:space="preserve"> and Mr M.J., </w:t>
      </w:r>
      <w:r>
        <w:rPr>
          <w:lang w:val="en-GB"/>
        </w:rPr>
        <w:t xml:space="preserve">which </w:t>
      </w:r>
      <w:r w:rsidR="00B775C7" w:rsidRPr="00D10BD5">
        <w:rPr>
          <w:lang w:val="en-GB"/>
        </w:rPr>
        <w:t>occurred on 21 June 1999 in Gjakovё/Ðakovica,</w:t>
      </w:r>
      <w:r w:rsidR="00144A8B" w:rsidRPr="00D10BD5">
        <w:rPr>
          <w:lang w:val="en-GB"/>
        </w:rPr>
        <w:t xml:space="preserve"> as well as</w:t>
      </w:r>
      <w:r w:rsidR="00B775C7" w:rsidRPr="00D10BD5">
        <w:rPr>
          <w:lang w:val="en-GB"/>
        </w:rPr>
        <w:t xml:space="preserve"> for their subsequent murd</w:t>
      </w:r>
      <w:r w:rsidR="00185DB0" w:rsidRPr="00D10BD5">
        <w:rPr>
          <w:lang w:val="en-GB"/>
        </w:rPr>
        <w:t>er. The complaint</w:t>
      </w:r>
      <w:r w:rsidR="00B775C7" w:rsidRPr="00D10BD5">
        <w:rPr>
          <w:lang w:val="en-GB"/>
        </w:rPr>
        <w:t xml:space="preserve"> states that Mr </w:t>
      </w:r>
      <w:proofErr w:type="spellStart"/>
      <w:r w:rsidR="00B775C7" w:rsidRPr="00D10BD5">
        <w:rPr>
          <w:lang w:val="en-GB"/>
        </w:rPr>
        <w:t>Ðorđe</w:t>
      </w:r>
      <w:proofErr w:type="spellEnd"/>
      <w:r w:rsidR="00B775C7" w:rsidRPr="00D10BD5">
        <w:rPr>
          <w:lang w:val="en-GB"/>
        </w:rPr>
        <w:t xml:space="preserve"> </w:t>
      </w:r>
      <w:proofErr w:type="spellStart"/>
      <w:r w:rsidR="00B775C7" w:rsidRPr="00D10BD5">
        <w:rPr>
          <w:lang w:val="en-GB"/>
        </w:rPr>
        <w:t>Kuzmanović’s</w:t>
      </w:r>
      <w:proofErr w:type="spellEnd"/>
      <w:r w:rsidR="00B775C7" w:rsidRPr="00D10BD5">
        <w:rPr>
          <w:lang w:val="en-GB"/>
        </w:rPr>
        <w:t xml:space="preserve"> mother, Mrs L.K., and </w:t>
      </w:r>
      <w:r w:rsidR="004216E2" w:rsidRPr="00D10BD5">
        <w:rPr>
          <w:lang w:val="en-GB"/>
        </w:rPr>
        <w:t>Mr</w:t>
      </w:r>
      <w:r w:rsidR="00B775C7" w:rsidRPr="00D10BD5">
        <w:rPr>
          <w:lang w:val="en-GB"/>
        </w:rPr>
        <w:t xml:space="preserve"> </w:t>
      </w:r>
      <w:r w:rsidR="004216E2" w:rsidRPr="00D10BD5">
        <w:rPr>
          <w:lang w:val="en-GB"/>
        </w:rPr>
        <w:t xml:space="preserve">M.J.’s wife had been </w:t>
      </w:r>
      <w:r w:rsidR="00B775C7" w:rsidRPr="00D10BD5">
        <w:rPr>
          <w:lang w:val="en-GB"/>
        </w:rPr>
        <w:t>eye-witness</w:t>
      </w:r>
      <w:r w:rsidR="004216E2" w:rsidRPr="00D10BD5">
        <w:rPr>
          <w:lang w:val="en-GB"/>
        </w:rPr>
        <w:t>es to their</w:t>
      </w:r>
      <w:r w:rsidRPr="00D10BD5">
        <w:rPr>
          <w:lang w:val="en-GB"/>
        </w:rPr>
        <w:t xml:space="preserve"> respective</w:t>
      </w:r>
      <w:r w:rsidR="004216E2" w:rsidRPr="00D10BD5">
        <w:rPr>
          <w:lang w:val="en-GB"/>
        </w:rPr>
        <w:t xml:space="preserve"> </w:t>
      </w:r>
      <w:r w:rsidR="00B775C7" w:rsidRPr="00D10BD5">
        <w:rPr>
          <w:lang w:val="en-GB"/>
        </w:rPr>
        <w:t>son</w:t>
      </w:r>
      <w:r w:rsidR="004216E2" w:rsidRPr="00D10BD5">
        <w:rPr>
          <w:lang w:val="en-GB"/>
        </w:rPr>
        <w:t>’s and husband’</w:t>
      </w:r>
      <w:r w:rsidRPr="00D10BD5">
        <w:rPr>
          <w:lang w:val="en-GB"/>
        </w:rPr>
        <w:t xml:space="preserve">s </w:t>
      </w:r>
      <w:r w:rsidR="00B775C7" w:rsidRPr="00D10BD5">
        <w:rPr>
          <w:lang w:val="en-GB"/>
        </w:rPr>
        <w:t>abduction</w:t>
      </w:r>
      <w:r w:rsidR="004216E2" w:rsidRPr="00D10BD5">
        <w:rPr>
          <w:lang w:val="en-GB"/>
        </w:rPr>
        <w:t xml:space="preserve">. Both victims had been taken to a KLA base known as “AMC”, located “by the road to </w:t>
      </w:r>
      <w:proofErr w:type="spellStart"/>
      <w:r w:rsidR="004216E2" w:rsidRPr="00D10BD5">
        <w:rPr>
          <w:lang w:val="en-GB"/>
        </w:rPr>
        <w:t>Prizren</w:t>
      </w:r>
      <w:proofErr w:type="spellEnd"/>
      <w:r w:rsidR="004216E2" w:rsidRPr="00D10BD5">
        <w:rPr>
          <w:lang w:val="en-GB"/>
        </w:rPr>
        <w:t xml:space="preserve">” and tortured. Mr V.S. </w:t>
      </w:r>
      <w:r w:rsidR="00630EB9" w:rsidRPr="00D10BD5">
        <w:rPr>
          <w:lang w:val="en-GB"/>
        </w:rPr>
        <w:t>(the same person mentioned in § 25 above)</w:t>
      </w:r>
      <w:r w:rsidR="00144A8B" w:rsidRPr="00D10BD5">
        <w:rPr>
          <w:lang w:val="en-GB"/>
        </w:rPr>
        <w:t>, who was detained</w:t>
      </w:r>
      <w:r w:rsidR="004216E2" w:rsidRPr="00D10BD5">
        <w:rPr>
          <w:lang w:val="en-GB"/>
        </w:rPr>
        <w:t xml:space="preserve"> and tortured at the same location, had given a statement in this respect.</w:t>
      </w:r>
    </w:p>
    <w:p w:rsidR="001B6ABE" w:rsidRPr="00D10BD5" w:rsidRDefault="001B6ABE" w:rsidP="001B6ABE">
      <w:pPr>
        <w:pStyle w:val="ListParagraph"/>
        <w:rPr>
          <w:bCs/>
          <w:lang w:val="en-GB"/>
        </w:rPr>
      </w:pPr>
    </w:p>
    <w:p w:rsidR="001B6ABE" w:rsidRPr="00D10BD5" w:rsidRDefault="00144A8B" w:rsidP="00A62C6D">
      <w:pPr>
        <w:pStyle w:val="ListParagraph"/>
        <w:widowControl w:val="0"/>
        <w:numPr>
          <w:ilvl w:val="0"/>
          <w:numId w:val="2"/>
        </w:numPr>
        <w:tabs>
          <w:tab w:val="left" w:pos="360"/>
          <w:tab w:val="num" w:pos="630"/>
          <w:tab w:val="left" w:pos="1080"/>
        </w:tabs>
        <w:jc w:val="both"/>
        <w:rPr>
          <w:bCs/>
          <w:lang w:val="en-GB"/>
        </w:rPr>
      </w:pPr>
      <w:r w:rsidRPr="00D10BD5">
        <w:rPr>
          <w:bCs/>
          <w:lang w:val="en-GB"/>
        </w:rPr>
        <w:t>The r</w:t>
      </w:r>
      <w:r w:rsidR="001B6ABE" w:rsidRPr="00D10BD5">
        <w:rPr>
          <w:bCs/>
          <w:lang w:val="en-GB"/>
        </w:rPr>
        <w:t>emaining documents in the file include an exchange of e-mails between UNMIK Police and the OMPF</w:t>
      </w:r>
      <w:r w:rsidR="00D10BD5" w:rsidRPr="00D10BD5">
        <w:rPr>
          <w:bCs/>
          <w:lang w:val="en-GB"/>
        </w:rPr>
        <w:t>,</w:t>
      </w:r>
      <w:r w:rsidR="001B6ABE" w:rsidRPr="00D10BD5">
        <w:rPr>
          <w:bCs/>
          <w:lang w:val="en-GB"/>
        </w:rPr>
        <w:t xml:space="preserve"> dating back to July 2004</w:t>
      </w:r>
      <w:r w:rsidR="00D10BD5" w:rsidRPr="00D10BD5">
        <w:rPr>
          <w:bCs/>
          <w:lang w:val="en-GB"/>
        </w:rPr>
        <w:t>,</w:t>
      </w:r>
      <w:r w:rsidR="001B6ABE" w:rsidRPr="00D10BD5">
        <w:rPr>
          <w:bCs/>
          <w:lang w:val="en-GB"/>
        </w:rPr>
        <w:t xml:space="preserve"> concernin</w:t>
      </w:r>
      <w:r w:rsidR="00714212" w:rsidRPr="00D10BD5">
        <w:rPr>
          <w:bCs/>
          <w:lang w:val="en-GB"/>
        </w:rPr>
        <w:t xml:space="preserve">g a different criminal case. A five-page </w:t>
      </w:r>
      <w:r w:rsidR="001B6ABE" w:rsidRPr="00D10BD5">
        <w:rPr>
          <w:bCs/>
          <w:lang w:val="en-GB"/>
        </w:rPr>
        <w:t>e-mail from the UNMIK Police</w:t>
      </w:r>
      <w:r w:rsidR="00D10BD5" w:rsidRPr="00D10BD5">
        <w:rPr>
          <w:bCs/>
          <w:lang w:val="en-GB"/>
        </w:rPr>
        <w:t>,</w:t>
      </w:r>
      <w:r w:rsidR="001B6ABE" w:rsidRPr="00D10BD5">
        <w:rPr>
          <w:bCs/>
          <w:lang w:val="en-GB"/>
        </w:rPr>
        <w:t xml:space="preserve"> dated 22 July 2004</w:t>
      </w:r>
      <w:r w:rsidR="00D10BD5" w:rsidRPr="00D10BD5">
        <w:rPr>
          <w:bCs/>
          <w:lang w:val="en-GB"/>
        </w:rPr>
        <w:t>,</w:t>
      </w:r>
      <w:r w:rsidR="001B6ABE" w:rsidRPr="00D10BD5">
        <w:rPr>
          <w:bCs/>
          <w:lang w:val="en-GB"/>
        </w:rPr>
        <w:t xml:space="preserve"> states that </w:t>
      </w:r>
      <w:r w:rsidR="00BA65B2" w:rsidRPr="00D10BD5">
        <w:rPr>
          <w:bCs/>
          <w:lang w:val="en-GB"/>
        </w:rPr>
        <w:t>this</w:t>
      </w:r>
      <w:r w:rsidR="001B6ABE" w:rsidRPr="00D10BD5">
        <w:rPr>
          <w:bCs/>
          <w:lang w:val="en-GB"/>
        </w:rPr>
        <w:t xml:space="preserve"> case involved “the abduction, unlawful detention, and torture of thirteen (13) individuals </w:t>
      </w:r>
      <w:r w:rsidR="00402041" w:rsidRPr="00D10BD5">
        <w:rPr>
          <w:bCs/>
          <w:lang w:val="en-GB"/>
        </w:rPr>
        <w:t>committed on various dated from</w:t>
      </w:r>
      <w:r w:rsidR="001B6ABE" w:rsidRPr="00D10BD5">
        <w:rPr>
          <w:bCs/>
          <w:lang w:val="en-GB"/>
        </w:rPr>
        <w:t xml:space="preserve"> </w:t>
      </w:r>
      <w:r w:rsidR="00402041" w:rsidRPr="00D10BD5">
        <w:rPr>
          <w:bCs/>
          <w:lang w:val="en-GB"/>
        </w:rPr>
        <w:t>June 1998 to August 2008”. The memorandum states that</w:t>
      </w:r>
      <w:r w:rsidR="00D10BD5" w:rsidRPr="00D10BD5">
        <w:rPr>
          <w:bCs/>
          <w:lang w:val="en-GB"/>
        </w:rPr>
        <w:t xml:space="preserve"> the suspects for</w:t>
      </w:r>
      <w:r w:rsidR="00714212" w:rsidRPr="00D10BD5">
        <w:rPr>
          <w:bCs/>
          <w:lang w:val="en-GB"/>
        </w:rPr>
        <w:t xml:space="preserve"> these crimes were all KLA members,</w:t>
      </w:r>
      <w:r w:rsidR="00402041" w:rsidRPr="00D10BD5">
        <w:rPr>
          <w:bCs/>
          <w:lang w:val="en-GB"/>
        </w:rPr>
        <w:t xml:space="preserve"> five</w:t>
      </w:r>
      <w:r w:rsidR="00714212" w:rsidRPr="00D10BD5">
        <w:rPr>
          <w:bCs/>
          <w:lang w:val="en-GB"/>
        </w:rPr>
        <w:t xml:space="preserve"> of whom</w:t>
      </w:r>
      <w:r w:rsidR="00402041" w:rsidRPr="00D10BD5">
        <w:rPr>
          <w:bCs/>
          <w:lang w:val="en-GB"/>
        </w:rPr>
        <w:t xml:space="preserve"> </w:t>
      </w:r>
      <w:r w:rsidR="00714212" w:rsidRPr="00D10BD5">
        <w:rPr>
          <w:bCs/>
          <w:lang w:val="en-GB"/>
        </w:rPr>
        <w:t>“</w:t>
      </w:r>
      <w:r w:rsidR="00402041" w:rsidRPr="00D10BD5">
        <w:rPr>
          <w:bCs/>
          <w:lang w:val="en-GB"/>
        </w:rPr>
        <w:t>presently working with the KPC/</w:t>
      </w:r>
      <w:r w:rsidR="00714212" w:rsidRPr="00D10BD5">
        <w:rPr>
          <w:bCs/>
          <w:lang w:val="en-GB"/>
        </w:rPr>
        <w:t>TMK occupying various ranks and posts”</w:t>
      </w:r>
      <w:r w:rsidR="00D10BD5" w:rsidRPr="00D10BD5">
        <w:rPr>
          <w:bCs/>
          <w:lang w:val="en-GB"/>
        </w:rPr>
        <w:t>. It</w:t>
      </w:r>
      <w:r w:rsidRPr="00D10BD5">
        <w:rPr>
          <w:bCs/>
          <w:lang w:val="en-GB"/>
        </w:rPr>
        <w:t xml:space="preserve"> lists</w:t>
      </w:r>
      <w:r w:rsidR="00714212" w:rsidRPr="00D10BD5">
        <w:rPr>
          <w:bCs/>
          <w:lang w:val="en-GB"/>
        </w:rPr>
        <w:t xml:space="preserve"> </w:t>
      </w:r>
      <w:r w:rsidR="00714212" w:rsidRPr="00D10BD5">
        <w:rPr>
          <w:lang w:val="en-GB"/>
        </w:rPr>
        <w:t xml:space="preserve">Mr </w:t>
      </w:r>
      <w:proofErr w:type="spellStart"/>
      <w:r w:rsidR="00714212" w:rsidRPr="00D10BD5">
        <w:rPr>
          <w:lang w:val="en-GB"/>
        </w:rPr>
        <w:t>Ðorđe</w:t>
      </w:r>
      <w:proofErr w:type="spellEnd"/>
      <w:r w:rsidR="00714212" w:rsidRPr="00D10BD5">
        <w:rPr>
          <w:lang w:val="en-GB"/>
        </w:rPr>
        <w:t xml:space="preserve"> </w:t>
      </w:r>
      <w:proofErr w:type="spellStart"/>
      <w:r w:rsidR="00714212" w:rsidRPr="00D10BD5">
        <w:rPr>
          <w:lang w:val="en-GB"/>
        </w:rPr>
        <w:t>Kuzmanović</w:t>
      </w:r>
      <w:proofErr w:type="spellEnd"/>
      <w:r w:rsidR="00D10BD5" w:rsidRPr="00D10BD5">
        <w:rPr>
          <w:lang w:val="en-GB"/>
        </w:rPr>
        <w:t xml:space="preserve"> as</w:t>
      </w:r>
      <w:r w:rsidRPr="00D10BD5">
        <w:rPr>
          <w:lang w:val="en-GB"/>
        </w:rPr>
        <w:t xml:space="preserve"> </w:t>
      </w:r>
      <w:r w:rsidR="00714212" w:rsidRPr="00D10BD5">
        <w:rPr>
          <w:lang w:val="en-GB"/>
        </w:rPr>
        <w:t>among those kidnapped in November 1999 by “</w:t>
      </w:r>
      <w:r w:rsidRPr="00D10BD5">
        <w:rPr>
          <w:lang w:val="en-GB"/>
        </w:rPr>
        <w:t>t</w:t>
      </w:r>
      <w:r w:rsidR="00714212" w:rsidRPr="00D10BD5">
        <w:rPr>
          <w:lang w:val="en-GB"/>
        </w:rPr>
        <w:t>he Eagles”, a special secret unit within the KLA 131</w:t>
      </w:r>
      <w:r w:rsidR="00EF6600" w:rsidRPr="00D10BD5">
        <w:rPr>
          <w:lang w:val="en-GB"/>
        </w:rPr>
        <w:t>st</w:t>
      </w:r>
      <w:r w:rsidR="00714212" w:rsidRPr="00D10BD5">
        <w:rPr>
          <w:lang w:val="en-GB"/>
        </w:rPr>
        <w:t xml:space="preserve"> brigade. One E.S</w:t>
      </w:r>
      <w:proofErr w:type="gramStart"/>
      <w:r w:rsidR="00714212" w:rsidRPr="00D10BD5">
        <w:rPr>
          <w:lang w:val="en-GB"/>
        </w:rPr>
        <w:t>.,</w:t>
      </w:r>
      <w:proofErr w:type="gramEnd"/>
      <w:r w:rsidR="00714212" w:rsidRPr="00D10BD5">
        <w:rPr>
          <w:lang w:val="en-GB"/>
        </w:rPr>
        <w:t xml:space="preserve"> is indicated</w:t>
      </w:r>
      <w:r w:rsidR="00BA65B2" w:rsidRPr="00D10BD5">
        <w:rPr>
          <w:lang w:val="en-GB"/>
        </w:rPr>
        <w:t xml:space="preserve"> as the main suspect of this and other</w:t>
      </w:r>
      <w:r w:rsidR="00714212" w:rsidRPr="00D10BD5">
        <w:rPr>
          <w:lang w:val="en-GB"/>
        </w:rPr>
        <w:t xml:space="preserve"> crimes. </w:t>
      </w:r>
      <w:r w:rsidR="00185DB0" w:rsidRPr="00D10BD5">
        <w:rPr>
          <w:lang w:val="en-GB"/>
        </w:rPr>
        <w:t xml:space="preserve"> It follows an</w:t>
      </w:r>
      <w:r w:rsidR="00EC1CD9" w:rsidRPr="00D10BD5">
        <w:rPr>
          <w:lang w:val="en-GB"/>
        </w:rPr>
        <w:t xml:space="preserve"> </w:t>
      </w:r>
      <w:r w:rsidR="00EC1CD9" w:rsidRPr="00D10BD5">
        <w:rPr>
          <w:lang w:val="en-GB"/>
        </w:rPr>
        <w:lastRenderedPageBreak/>
        <w:t>UNMIK Police Interoffice M</w:t>
      </w:r>
      <w:r w:rsidR="00185DB0" w:rsidRPr="00D10BD5">
        <w:rPr>
          <w:lang w:val="en-GB"/>
        </w:rPr>
        <w:t xml:space="preserve">emorandum </w:t>
      </w:r>
      <w:r w:rsidR="00EC1CD9" w:rsidRPr="00D10BD5">
        <w:rPr>
          <w:lang w:val="en-GB"/>
        </w:rPr>
        <w:t xml:space="preserve">addressed to the WCIU, dated 27 February 2005, whose subject reads: “Murder”. This memorandum states that a named KLA commander, </w:t>
      </w:r>
      <w:proofErr w:type="spellStart"/>
      <w:r w:rsidR="00BA65B2" w:rsidRPr="00D10BD5">
        <w:rPr>
          <w:lang w:val="en-GB"/>
        </w:rPr>
        <w:t>D.Re</w:t>
      </w:r>
      <w:proofErr w:type="spellEnd"/>
      <w:r w:rsidR="00BA65B2" w:rsidRPr="00D10BD5">
        <w:rPr>
          <w:lang w:val="en-GB"/>
        </w:rPr>
        <w:t>.</w:t>
      </w:r>
      <w:r w:rsidR="00EC1CD9" w:rsidRPr="00D10BD5">
        <w:rPr>
          <w:lang w:val="en-GB"/>
        </w:rPr>
        <w:t xml:space="preserve"> (</w:t>
      </w:r>
      <w:r w:rsidR="00BA65B2" w:rsidRPr="00D10BD5">
        <w:rPr>
          <w:lang w:val="en-GB"/>
        </w:rPr>
        <w:t xml:space="preserve">an individual with the same surname as the person mentioned by the complainant </w:t>
      </w:r>
      <w:r w:rsidR="00EC1CD9" w:rsidRPr="00D10BD5">
        <w:rPr>
          <w:lang w:val="en-GB"/>
        </w:rPr>
        <w:t xml:space="preserve">§ </w:t>
      </w:r>
      <w:r w:rsidR="00BA65B2" w:rsidRPr="00D10BD5">
        <w:rPr>
          <w:lang w:val="en-GB"/>
        </w:rPr>
        <w:t xml:space="preserve">25 </w:t>
      </w:r>
      <w:r w:rsidR="00D10BD5" w:rsidRPr="00D10BD5">
        <w:rPr>
          <w:lang w:val="en-GB"/>
        </w:rPr>
        <w:t xml:space="preserve">above) and approximately </w:t>
      </w:r>
      <w:r w:rsidR="00EC1CD9" w:rsidRPr="00D10BD5">
        <w:rPr>
          <w:lang w:val="en-GB"/>
        </w:rPr>
        <w:t>35</w:t>
      </w:r>
      <w:r w:rsidR="00D10BD5" w:rsidRPr="00D10BD5">
        <w:rPr>
          <w:lang w:val="en-GB"/>
        </w:rPr>
        <w:t xml:space="preserve"> other</w:t>
      </w:r>
      <w:r w:rsidR="00EC1CD9" w:rsidRPr="00D10BD5">
        <w:rPr>
          <w:lang w:val="en-GB"/>
        </w:rPr>
        <w:t xml:space="preserve"> KLA members kidnapped six “Serbia people”</w:t>
      </w:r>
      <w:r w:rsidR="0080746A" w:rsidRPr="00D10BD5">
        <w:rPr>
          <w:lang w:val="en-GB"/>
        </w:rPr>
        <w:t xml:space="preserve">, including Mr </w:t>
      </w:r>
      <w:proofErr w:type="spellStart"/>
      <w:r w:rsidR="0080746A" w:rsidRPr="00D10BD5">
        <w:rPr>
          <w:lang w:val="en-GB"/>
        </w:rPr>
        <w:t>Ðorđe</w:t>
      </w:r>
      <w:proofErr w:type="spellEnd"/>
      <w:r w:rsidR="0080746A" w:rsidRPr="00D10BD5">
        <w:rPr>
          <w:lang w:val="en-GB"/>
        </w:rPr>
        <w:t xml:space="preserve"> </w:t>
      </w:r>
      <w:proofErr w:type="spellStart"/>
      <w:r w:rsidR="0080746A" w:rsidRPr="00D10BD5">
        <w:rPr>
          <w:lang w:val="en-GB"/>
        </w:rPr>
        <w:t>Kuzmanović</w:t>
      </w:r>
      <w:proofErr w:type="spellEnd"/>
      <w:r w:rsidR="0080746A" w:rsidRPr="00D10BD5">
        <w:rPr>
          <w:lang w:val="en-GB"/>
        </w:rPr>
        <w:t xml:space="preserve">, </w:t>
      </w:r>
      <w:r w:rsidR="00EC1CD9" w:rsidRPr="00D10BD5">
        <w:rPr>
          <w:lang w:val="en-GB"/>
        </w:rPr>
        <w:t xml:space="preserve">during the Kosovo war and took them to a KLA detention camp located in </w:t>
      </w:r>
      <w:r w:rsidR="00D10BD5" w:rsidRPr="00D10BD5">
        <w:rPr>
          <w:lang w:val="en-GB"/>
        </w:rPr>
        <w:t xml:space="preserve">a village near </w:t>
      </w:r>
      <w:proofErr w:type="spellStart"/>
      <w:r w:rsidR="00D10BD5" w:rsidRPr="00D10BD5">
        <w:rPr>
          <w:lang w:val="en-GB"/>
        </w:rPr>
        <w:t>Pristhinë</w:t>
      </w:r>
      <w:proofErr w:type="spellEnd"/>
      <w:r w:rsidR="00D10BD5" w:rsidRPr="00D10BD5">
        <w:rPr>
          <w:lang w:val="en-GB"/>
        </w:rPr>
        <w:t>/Prišti</w:t>
      </w:r>
      <w:r w:rsidR="00EC1CD9" w:rsidRPr="00D10BD5">
        <w:rPr>
          <w:lang w:val="en-GB"/>
        </w:rPr>
        <w:t>n</w:t>
      </w:r>
      <w:r w:rsidR="00D10BD5" w:rsidRPr="00D10BD5">
        <w:rPr>
          <w:lang w:val="en-GB"/>
        </w:rPr>
        <w:t>a</w:t>
      </w:r>
      <w:r w:rsidR="00EC1CD9" w:rsidRPr="00D10BD5">
        <w:rPr>
          <w:lang w:val="en-GB"/>
        </w:rPr>
        <w:t xml:space="preserve">. On the orders of the above-mentioned </w:t>
      </w:r>
      <w:proofErr w:type="spellStart"/>
      <w:proofErr w:type="gramStart"/>
      <w:r w:rsidR="00BA65B2" w:rsidRPr="00D10BD5">
        <w:rPr>
          <w:lang w:val="en-GB"/>
        </w:rPr>
        <w:t>D.Re</w:t>
      </w:r>
      <w:proofErr w:type="spellEnd"/>
      <w:r w:rsidR="000A4303" w:rsidRPr="00D10BD5">
        <w:rPr>
          <w:lang w:val="en-GB"/>
        </w:rPr>
        <w:t>.</w:t>
      </w:r>
      <w:r w:rsidR="0080746A" w:rsidRPr="00D10BD5">
        <w:rPr>
          <w:lang w:val="en-GB"/>
        </w:rPr>
        <w:t>,</w:t>
      </w:r>
      <w:proofErr w:type="gramEnd"/>
      <w:r w:rsidR="0080746A" w:rsidRPr="00D10BD5">
        <w:rPr>
          <w:lang w:val="en-GB"/>
        </w:rPr>
        <w:t xml:space="preserve"> the six prisoners were killed.</w:t>
      </w:r>
      <w:r w:rsidR="00EC1CD9" w:rsidRPr="00D10BD5">
        <w:rPr>
          <w:lang w:val="en-GB"/>
        </w:rPr>
        <w:t xml:space="preserve">  </w:t>
      </w:r>
      <w:r w:rsidR="00714212" w:rsidRPr="00D10BD5">
        <w:rPr>
          <w:lang w:val="en-GB"/>
        </w:rPr>
        <w:t xml:space="preserve">There are no further documents in the file related to this particular investigation. </w:t>
      </w:r>
    </w:p>
    <w:p w:rsidR="00A62A15" w:rsidRPr="00D10BD5" w:rsidRDefault="00A62A15" w:rsidP="00A62A15">
      <w:pPr>
        <w:pStyle w:val="ListParagraph"/>
        <w:rPr>
          <w:lang w:val="en-GB"/>
        </w:rPr>
      </w:pPr>
    </w:p>
    <w:p w:rsidR="00882198" w:rsidRPr="00D10BD5" w:rsidRDefault="004216E2" w:rsidP="000944B0">
      <w:pPr>
        <w:pStyle w:val="ListParagraph"/>
        <w:widowControl w:val="0"/>
        <w:numPr>
          <w:ilvl w:val="0"/>
          <w:numId w:val="2"/>
        </w:numPr>
        <w:tabs>
          <w:tab w:val="left" w:pos="360"/>
          <w:tab w:val="num" w:pos="630"/>
          <w:tab w:val="left" w:pos="1080"/>
        </w:tabs>
        <w:jc w:val="both"/>
        <w:rPr>
          <w:bCs/>
          <w:lang w:val="en-GB"/>
        </w:rPr>
      </w:pPr>
      <w:r w:rsidRPr="00D10BD5">
        <w:rPr>
          <w:lang w:val="en-GB"/>
        </w:rPr>
        <w:t xml:space="preserve"> </w:t>
      </w:r>
      <w:r w:rsidR="00A62A15" w:rsidRPr="00D10BD5">
        <w:rPr>
          <w:lang w:val="en-GB"/>
        </w:rPr>
        <w:t xml:space="preserve">The latest documents in the file are two </w:t>
      </w:r>
      <w:r w:rsidR="004746C1" w:rsidRPr="00D10BD5">
        <w:rPr>
          <w:lang w:val="en-GB"/>
        </w:rPr>
        <w:t>requests to conduct</w:t>
      </w:r>
      <w:r w:rsidR="00D10BD5" w:rsidRPr="00D10BD5">
        <w:rPr>
          <w:lang w:val="en-GB"/>
        </w:rPr>
        <w:t xml:space="preserve"> an</w:t>
      </w:r>
      <w:r w:rsidR="004746C1" w:rsidRPr="00D10BD5">
        <w:rPr>
          <w:lang w:val="en-GB"/>
        </w:rPr>
        <w:t xml:space="preserve"> investigation</w:t>
      </w:r>
      <w:r w:rsidR="00D10BD5" w:rsidRPr="00D10BD5">
        <w:rPr>
          <w:lang w:val="en-GB"/>
        </w:rPr>
        <w:t>,</w:t>
      </w:r>
      <w:r w:rsidR="004746C1" w:rsidRPr="00D10BD5">
        <w:rPr>
          <w:lang w:val="en-GB"/>
        </w:rPr>
        <w:t xml:space="preserve"> issued by</w:t>
      </w:r>
      <w:r w:rsidR="00A62A15" w:rsidRPr="00D10BD5">
        <w:rPr>
          <w:lang w:val="en-GB"/>
        </w:rPr>
        <w:t xml:space="preserve"> </w:t>
      </w:r>
      <w:r w:rsidR="004746C1" w:rsidRPr="00D10BD5">
        <w:rPr>
          <w:lang w:val="en-GB"/>
        </w:rPr>
        <w:t>an Internationa</w:t>
      </w:r>
      <w:r w:rsidR="00ED14E7" w:rsidRPr="00D10BD5">
        <w:rPr>
          <w:lang w:val="en-GB"/>
        </w:rPr>
        <w:t>l Prosecutor at the EULEX</w:t>
      </w:r>
      <w:r w:rsidR="004746C1" w:rsidRPr="00D10BD5">
        <w:rPr>
          <w:lang w:val="en-GB"/>
        </w:rPr>
        <w:t xml:space="preserve"> Special Prosecution Office (SPRK) in connection with UNMIK Police case file no. 2000-00104. The first request, dated 26 April 2009, states that potential witnesses in the kidnapping and killing of Mr </w:t>
      </w:r>
      <w:proofErr w:type="spellStart"/>
      <w:r w:rsidR="004746C1" w:rsidRPr="00D10BD5">
        <w:rPr>
          <w:lang w:val="en-GB"/>
        </w:rPr>
        <w:t>Ðorđe</w:t>
      </w:r>
      <w:proofErr w:type="spellEnd"/>
      <w:r w:rsidR="004746C1" w:rsidRPr="00D10BD5">
        <w:rPr>
          <w:lang w:val="en-GB"/>
        </w:rPr>
        <w:t xml:space="preserve"> </w:t>
      </w:r>
      <w:proofErr w:type="spellStart"/>
      <w:r w:rsidR="004746C1" w:rsidRPr="00D10BD5">
        <w:rPr>
          <w:lang w:val="en-GB"/>
        </w:rPr>
        <w:t>Kuzmanović</w:t>
      </w:r>
      <w:proofErr w:type="spellEnd"/>
      <w:r w:rsidR="00EF6600" w:rsidRPr="00D10BD5">
        <w:rPr>
          <w:lang w:val="en-GB"/>
        </w:rPr>
        <w:t xml:space="preserve"> - the latter’s mother</w:t>
      </w:r>
      <w:r w:rsidR="004746C1" w:rsidRPr="00D10BD5">
        <w:rPr>
          <w:lang w:val="en-GB"/>
        </w:rPr>
        <w:t xml:space="preserve"> and Mr V.S. (the same individual mentioned in §</w:t>
      </w:r>
      <w:r w:rsidR="00EF6600" w:rsidRPr="00D10BD5">
        <w:rPr>
          <w:lang w:val="en-GB"/>
        </w:rPr>
        <w:t>§ 25 and 35</w:t>
      </w:r>
      <w:r w:rsidR="004746C1" w:rsidRPr="00D10BD5">
        <w:rPr>
          <w:lang w:val="en-GB"/>
        </w:rPr>
        <w:t xml:space="preserve"> above)</w:t>
      </w:r>
      <w:r w:rsidR="00EF6600" w:rsidRPr="00D10BD5">
        <w:rPr>
          <w:lang w:val="en-GB"/>
        </w:rPr>
        <w:t xml:space="preserve"> -</w:t>
      </w:r>
      <w:r w:rsidR="004746C1" w:rsidRPr="00D10BD5">
        <w:rPr>
          <w:lang w:val="en-GB"/>
        </w:rPr>
        <w:t xml:space="preserve"> shall be interviewed. The second requ</w:t>
      </w:r>
      <w:r w:rsidR="00EF6600" w:rsidRPr="00D10BD5">
        <w:rPr>
          <w:lang w:val="en-GB"/>
        </w:rPr>
        <w:t>est, dated 15 June 2009, and</w:t>
      </w:r>
      <w:r w:rsidR="004746C1" w:rsidRPr="00D10BD5">
        <w:rPr>
          <w:lang w:val="en-GB"/>
        </w:rPr>
        <w:t xml:space="preserve"> addressed to the EULEX “War Crimes Police”, stated that </w:t>
      </w:r>
      <w:proofErr w:type="spellStart"/>
      <w:r w:rsidR="00A62A15" w:rsidRPr="00D10BD5">
        <w:rPr>
          <w:lang w:val="en-GB"/>
        </w:rPr>
        <w:t>R.D</w:t>
      </w:r>
      <w:r w:rsidR="00BA65B2" w:rsidRPr="00D10BD5">
        <w:rPr>
          <w:lang w:val="en-GB"/>
        </w:rPr>
        <w:t>a</w:t>
      </w:r>
      <w:proofErr w:type="spellEnd"/>
      <w:r w:rsidR="00A62A15" w:rsidRPr="00D10BD5">
        <w:rPr>
          <w:lang w:val="en-GB"/>
        </w:rPr>
        <w:t xml:space="preserve">. (the same individual mentioned in </w:t>
      </w:r>
      <w:r w:rsidR="00EF6600" w:rsidRPr="00D10BD5">
        <w:rPr>
          <w:lang w:val="en-GB"/>
        </w:rPr>
        <w:t xml:space="preserve">§§ 25  and 35 </w:t>
      </w:r>
      <w:r w:rsidR="00A62A15" w:rsidRPr="00D10BD5">
        <w:rPr>
          <w:lang w:val="en-GB"/>
        </w:rPr>
        <w:t xml:space="preserve">above) </w:t>
      </w:r>
      <w:r w:rsidR="00EF6600" w:rsidRPr="00D10BD5">
        <w:rPr>
          <w:lang w:val="en-GB"/>
        </w:rPr>
        <w:t>should</w:t>
      </w:r>
      <w:r w:rsidR="004746C1" w:rsidRPr="00D10BD5">
        <w:rPr>
          <w:lang w:val="en-GB"/>
        </w:rPr>
        <w:t xml:space="preserve"> be interviewed as a suspect in the kidnapping and killing of</w:t>
      </w:r>
      <w:r w:rsidR="00A62A15" w:rsidRPr="00D10BD5">
        <w:rPr>
          <w:lang w:val="en-GB"/>
        </w:rPr>
        <w:t xml:space="preserve"> </w:t>
      </w:r>
      <w:r w:rsidR="004746C1" w:rsidRPr="00D10BD5">
        <w:rPr>
          <w:lang w:val="en-GB"/>
        </w:rPr>
        <w:t xml:space="preserve">Mr </w:t>
      </w:r>
      <w:proofErr w:type="spellStart"/>
      <w:r w:rsidR="004746C1" w:rsidRPr="00D10BD5">
        <w:rPr>
          <w:lang w:val="en-GB"/>
        </w:rPr>
        <w:t>Ðorđe</w:t>
      </w:r>
      <w:proofErr w:type="spellEnd"/>
      <w:r w:rsidR="004746C1" w:rsidRPr="00D10BD5">
        <w:rPr>
          <w:lang w:val="en-GB"/>
        </w:rPr>
        <w:t xml:space="preserve"> </w:t>
      </w:r>
      <w:proofErr w:type="spellStart"/>
      <w:r w:rsidR="004746C1" w:rsidRPr="00D10BD5">
        <w:rPr>
          <w:lang w:val="en-GB"/>
        </w:rPr>
        <w:t>Kuzmanović</w:t>
      </w:r>
      <w:proofErr w:type="spellEnd"/>
      <w:r w:rsidR="0080746A" w:rsidRPr="00D10BD5">
        <w:rPr>
          <w:lang w:val="en-GB"/>
        </w:rPr>
        <w:t xml:space="preserve">. </w:t>
      </w:r>
    </w:p>
    <w:p w:rsidR="00242881" w:rsidRPr="001B6ABE" w:rsidRDefault="00EF6F9F" w:rsidP="001B6ABE">
      <w:pPr>
        <w:pStyle w:val="ListParagraph"/>
        <w:widowControl w:val="0"/>
        <w:tabs>
          <w:tab w:val="left" w:pos="1080"/>
        </w:tabs>
        <w:ind w:left="360"/>
        <w:jc w:val="both"/>
        <w:rPr>
          <w:bCs/>
          <w:lang w:val="en-GB"/>
        </w:rPr>
      </w:pPr>
      <w:r>
        <w:rPr>
          <w:lang w:val="en-GB"/>
        </w:rPr>
        <w:t xml:space="preserve"> </w:t>
      </w:r>
      <w:bookmarkEnd w:id="12"/>
      <w:bookmarkEnd w:id="13"/>
      <w:bookmarkEnd w:id="14"/>
      <w:bookmarkEnd w:id="15"/>
      <w:bookmarkEnd w:id="16"/>
      <w:bookmarkEnd w:id="17"/>
      <w:bookmarkEnd w:id="18"/>
      <w:bookmarkEnd w:id="19"/>
    </w:p>
    <w:p w:rsidR="00431AF1" w:rsidRPr="00393E7A" w:rsidRDefault="00431AF1" w:rsidP="00F27A88">
      <w:pPr>
        <w:rPr>
          <w:lang w:val="en-GB" w:eastAsia="en-GB"/>
        </w:rPr>
      </w:pPr>
    </w:p>
    <w:p w:rsidR="003E3F85" w:rsidRPr="00393E7A" w:rsidRDefault="003E3F85" w:rsidP="003E3F85">
      <w:pPr>
        <w:numPr>
          <w:ilvl w:val="0"/>
          <w:numId w:val="1"/>
        </w:numPr>
        <w:suppressAutoHyphens/>
        <w:autoSpaceDE w:val="0"/>
        <w:ind w:left="360" w:hanging="360"/>
        <w:jc w:val="both"/>
        <w:rPr>
          <w:b/>
          <w:bCs/>
        </w:rPr>
      </w:pPr>
      <w:r w:rsidRPr="00393E7A">
        <w:rPr>
          <w:b/>
          <w:bCs/>
          <w:lang w:val="en-GB"/>
        </w:rPr>
        <w:t>THE</w:t>
      </w:r>
      <w:r w:rsidRPr="00393E7A">
        <w:rPr>
          <w:b/>
          <w:bCs/>
        </w:rPr>
        <w:t xml:space="preserve"> COMPLAINT</w:t>
      </w:r>
    </w:p>
    <w:p w:rsidR="003E3F85" w:rsidRPr="00393E7A" w:rsidRDefault="003E3F85" w:rsidP="003E3F85">
      <w:pPr>
        <w:pStyle w:val="ListParagraph"/>
        <w:tabs>
          <w:tab w:val="left" w:pos="357"/>
        </w:tabs>
        <w:autoSpaceDE w:val="0"/>
        <w:ind w:left="1080"/>
        <w:jc w:val="both"/>
        <w:rPr>
          <w:b/>
          <w:bCs/>
          <w:lang w:val="en-GB"/>
        </w:rPr>
      </w:pPr>
    </w:p>
    <w:p w:rsidR="003E3F85" w:rsidRPr="00D10BD5" w:rsidRDefault="003E3F85" w:rsidP="003E3F85">
      <w:pPr>
        <w:pStyle w:val="ListParagraph"/>
        <w:numPr>
          <w:ilvl w:val="0"/>
          <w:numId w:val="2"/>
        </w:numPr>
        <w:autoSpaceDE w:val="0"/>
        <w:jc w:val="both"/>
        <w:rPr>
          <w:b/>
          <w:bCs/>
          <w:lang w:val="en-GB"/>
        </w:rPr>
      </w:pPr>
      <w:r w:rsidRPr="00D10BD5">
        <w:rPr>
          <w:lang w:val="en-GB"/>
        </w:rPr>
        <w:t>The complainant complains about UNMIK’s alleged failure to properly investigate the</w:t>
      </w:r>
      <w:r w:rsidR="00622236" w:rsidRPr="00D10BD5">
        <w:rPr>
          <w:lang w:val="en-GB"/>
        </w:rPr>
        <w:t xml:space="preserve"> </w:t>
      </w:r>
      <w:r w:rsidR="00954A3E" w:rsidRPr="00D10BD5">
        <w:rPr>
          <w:lang w:val="en-GB"/>
        </w:rPr>
        <w:t>abduction</w:t>
      </w:r>
      <w:r w:rsidR="00423598" w:rsidRPr="00D10BD5">
        <w:rPr>
          <w:lang w:val="en-GB"/>
        </w:rPr>
        <w:t xml:space="preserve"> and </w:t>
      </w:r>
      <w:r w:rsidR="00EF6F9F" w:rsidRPr="00D10BD5">
        <w:rPr>
          <w:lang w:val="en-GB"/>
        </w:rPr>
        <w:t>killing</w:t>
      </w:r>
      <w:r w:rsidRPr="00D10BD5">
        <w:rPr>
          <w:lang w:val="en-GB"/>
        </w:rPr>
        <w:t xml:space="preserve"> of </w:t>
      </w:r>
      <w:r w:rsidR="00EF6F9F" w:rsidRPr="00D10BD5">
        <w:rPr>
          <w:lang w:val="en-GB"/>
        </w:rPr>
        <w:t xml:space="preserve">Mr </w:t>
      </w:r>
      <w:proofErr w:type="spellStart"/>
      <w:r w:rsidR="00EF6F9F" w:rsidRPr="00D10BD5">
        <w:rPr>
          <w:lang w:val="en-GB"/>
        </w:rPr>
        <w:t>Ðorđe</w:t>
      </w:r>
      <w:proofErr w:type="spellEnd"/>
      <w:r w:rsidR="00EF6F9F" w:rsidRPr="00D10BD5">
        <w:rPr>
          <w:lang w:val="en-GB"/>
        </w:rPr>
        <w:t xml:space="preserve"> </w:t>
      </w:r>
      <w:proofErr w:type="spellStart"/>
      <w:r w:rsidR="00EF6F9F" w:rsidRPr="00D10BD5">
        <w:rPr>
          <w:lang w:val="en-GB"/>
        </w:rPr>
        <w:t>Kuzmanović</w:t>
      </w:r>
      <w:proofErr w:type="spellEnd"/>
      <w:r w:rsidRPr="00D10BD5">
        <w:rPr>
          <w:lang w:val="en-GB"/>
        </w:rPr>
        <w:t>. In this regard, the Panel deems that the complainant invokes a violation of the procedural limb of Article 2 of the European Convention on Human Rights (ECHR).</w:t>
      </w:r>
    </w:p>
    <w:p w:rsidR="003E3F85" w:rsidRPr="00393E7A" w:rsidRDefault="003E3F85" w:rsidP="003E3F85">
      <w:pPr>
        <w:autoSpaceDE w:val="0"/>
        <w:jc w:val="both"/>
        <w:rPr>
          <w:b/>
          <w:bCs/>
          <w:lang w:val="en-GB"/>
        </w:rPr>
      </w:pPr>
    </w:p>
    <w:p w:rsidR="003E3F85" w:rsidRPr="00393E7A" w:rsidRDefault="003E3F85" w:rsidP="003E3F85">
      <w:pPr>
        <w:autoSpaceDE w:val="0"/>
        <w:jc w:val="both"/>
        <w:rPr>
          <w:b/>
          <w:bCs/>
          <w:lang w:val="en-GB"/>
        </w:rPr>
      </w:pPr>
    </w:p>
    <w:p w:rsidR="003E3F85" w:rsidRPr="00393E7A" w:rsidRDefault="003E3F85" w:rsidP="003E3F85">
      <w:pPr>
        <w:numPr>
          <w:ilvl w:val="0"/>
          <w:numId w:val="1"/>
        </w:numPr>
        <w:suppressAutoHyphens/>
        <w:autoSpaceDE w:val="0"/>
        <w:ind w:left="360" w:hanging="360"/>
        <w:jc w:val="both"/>
        <w:rPr>
          <w:b/>
          <w:bCs/>
          <w:lang w:val="en-GB"/>
        </w:rPr>
      </w:pPr>
      <w:r w:rsidRPr="00393E7A">
        <w:rPr>
          <w:b/>
          <w:bCs/>
          <w:lang w:val="en-GB"/>
        </w:rPr>
        <w:t>THE LAW</w:t>
      </w:r>
    </w:p>
    <w:p w:rsidR="003E3F85" w:rsidRPr="00393E7A" w:rsidRDefault="003E3F85" w:rsidP="003E3F85">
      <w:pPr>
        <w:suppressAutoHyphens/>
        <w:autoSpaceDE w:val="0"/>
        <w:jc w:val="both"/>
        <w:rPr>
          <w:bCs/>
          <w:lang w:val="en-GB"/>
        </w:rPr>
      </w:pPr>
    </w:p>
    <w:p w:rsidR="003E3F85" w:rsidRPr="00393E7A" w:rsidRDefault="003E3F85" w:rsidP="003E3F85">
      <w:pPr>
        <w:pStyle w:val="Default"/>
        <w:numPr>
          <w:ilvl w:val="0"/>
          <w:numId w:val="4"/>
        </w:numPr>
        <w:jc w:val="both"/>
        <w:rPr>
          <w:b/>
          <w:color w:val="auto"/>
          <w:lang w:val="en-GB"/>
        </w:rPr>
      </w:pPr>
      <w:r w:rsidRPr="00393E7A">
        <w:rPr>
          <w:b/>
          <w:color w:val="auto"/>
          <w:lang w:val="en-GB"/>
        </w:rPr>
        <w:t>Alleged violation of the procedural obligation under</w:t>
      </w:r>
      <w:r w:rsidRPr="00393E7A">
        <w:rPr>
          <w:b/>
          <w:i/>
          <w:color w:val="auto"/>
          <w:lang w:val="en-GB"/>
        </w:rPr>
        <w:t xml:space="preserve"> </w:t>
      </w:r>
      <w:r w:rsidRPr="00393E7A">
        <w:rPr>
          <w:b/>
          <w:color w:val="auto"/>
          <w:lang w:val="en-GB"/>
        </w:rPr>
        <w:t xml:space="preserve">Article 2 of the ECHR </w:t>
      </w:r>
    </w:p>
    <w:p w:rsidR="003E3F85" w:rsidRPr="00393E7A" w:rsidRDefault="003E3F85" w:rsidP="003E3F85">
      <w:pPr>
        <w:tabs>
          <w:tab w:val="left" w:pos="630"/>
          <w:tab w:val="left" w:pos="2790"/>
        </w:tabs>
        <w:suppressAutoHyphens/>
        <w:autoSpaceDE w:val="0"/>
        <w:jc w:val="both"/>
        <w:rPr>
          <w:bCs/>
          <w:lang w:val="en-GB"/>
        </w:rPr>
      </w:pPr>
    </w:p>
    <w:p w:rsidR="003E3F85" w:rsidRPr="00393E7A" w:rsidRDefault="003E3F85" w:rsidP="003E3F85">
      <w:pPr>
        <w:pStyle w:val="ListParagraph"/>
        <w:numPr>
          <w:ilvl w:val="1"/>
          <w:numId w:val="1"/>
        </w:numPr>
        <w:tabs>
          <w:tab w:val="clear" w:pos="360"/>
          <w:tab w:val="left" w:pos="357"/>
        </w:tabs>
        <w:autoSpaceDE w:val="0"/>
        <w:contextualSpacing/>
        <w:jc w:val="both"/>
        <w:rPr>
          <w:b/>
          <w:bCs/>
          <w:lang w:val="en-GB"/>
        </w:rPr>
      </w:pPr>
      <w:r w:rsidRPr="00393E7A">
        <w:rPr>
          <w:b/>
          <w:bCs/>
          <w:lang w:val="en-GB"/>
        </w:rPr>
        <w:t>The scope of the Panel’s review</w:t>
      </w:r>
    </w:p>
    <w:p w:rsidR="003E3F85" w:rsidRPr="00393E7A" w:rsidRDefault="003E3F85" w:rsidP="003E3F85">
      <w:pPr>
        <w:suppressAutoHyphens/>
        <w:autoSpaceDE w:val="0"/>
        <w:jc w:val="both"/>
        <w:rPr>
          <w:bCs/>
          <w:lang w:val="en-GB"/>
        </w:rPr>
      </w:pPr>
    </w:p>
    <w:p w:rsidR="003E3F85" w:rsidRPr="00393E7A" w:rsidRDefault="003E3F85" w:rsidP="003E3F85">
      <w:pPr>
        <w:pStyle w:val="ListParagraph"/>
        <w:numPr>
          <w:ilvl w:val="0"/>
          <w:numId w:val="2"/>
        </w:numPr>
        <w:autoSpaceDE w:val="0"/>
        <w:jc w:val="both"/>
        <w:rPr>
          <w:bCs/>
          <w:lang w:val="en-GB"/>
        </w:rPr>
      </w:pPr>
      <w:r w:rsidRPr="00393E7A">
        <w:rPr>
          <w:bCs/>
          <w:lang w:val="en-GB"/>
        </w:rPr>
        <w:t>Before turning to the examination of the merits of the complaint, the Panel needs to clarify the scope of its review.</w:t>
      </w:r>
    </w:p>
    <w:p w:rsidR="003E3F85" w:rsidRPr="00393E7A" w:rsidRDefault="003E3F85" w:rsidP="003E3F85">
      <w:pPr>
        <w:autoSpaceDE w:val="0"/>
        <w:jc w:val="both"/>
        <w:rPr>
          <w:bCs/>
          <w:lang w:val="en-GB"/>
        </w:rPr>
      </w:pPr>
    </w:p>
    <w:p w:rsidR="003E3F85" w:rsidRPr="00393E7A" w:rsidRDefault="003E3F85" w:rsidP="003E3F85">
      <w:pPr>
        <w:pStyle w:val="ListParagraph"/>
        <w:numPr>
          <w:ilvl w:val="0"/>
          <w:numId w:val="2"/>
        </w:numPr>
        <w:autoSpaceDE w:val="0"/>
        <w:jc w:val="both"/>
        <w:rPr>
          <w:lang w:val="en-GB"/>
        </w:rPr>
      </w:pPr>
      <w:bookmarkStart w:id="20" w:name="_Ref366160496"/>
      <w:r w:rsidRPr="00393E7A">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w:t>
      </w:r>
      <w:r w:rsidRPr="00393E7A">
        <w:rPr>
          <w:lang w:val="en-GB"/>
        </w:rPr>
        <w:lastRenderedPageBreak/>
        <w:t>assesses the procedural positive obligations of an intergovernmental organisation with respect to acts committed by third parties in a territory over which it has temporary legislative, executive and judicial control.</w:t>
      </w:r>
      <w:bookmarkEnd w:id="20"/>
      <w:r w:rsidRPr="00393E7A">
        <w:rPr>
          <w:lang w:val="en-GB"/>
        </w:rPr>
        <w:t xml:space="preserve"> </w:t>
      </w:r>
    </w:p>
    <w:p w:rsidR="003E3F85" w:rsidRPr="00393E7A" w:rsidRDefault="003E3F85" w:rsidP="003E3F85">
      <w:pPr>
        <w:tabs>
          <w:tab w:val="left" w:pos="360"/>
        </w:tabs>
        <w:autoSpaceDE w:val="0"/>
        <w:ind w:left="360" w:hanging="360"/>
        <w:jc w:val="both"/>
        <w:rPr>
          <w:bCs/>
          <w:lang w:val="en-GB"/>
        </w:rPr>
      </w:pPr>
    </w:p>
    <w:p w:rsidR="003E3F85" w:rsidRPr="00393E7A" w:rsidRDefault="003E3F85" w:rsidP="003E3F85">
      <w:pPr>
        <w:numPr>
          <w:ilvl w:val="0"/>
          <w:numId w:val="2"/>
        </w:numPr>
        <w:suppressAutoHyphens/>
        <w:autoSpaceDE w:val="0"/>
        <w:jc w:val="both"/>
        <w:rPr>
          <w:lang w:val="en-GB"/>
        </w:rPr>
      </w:pPr>
      <w:bookmarkStart w:id="21" w:name="_Ref347321462"/>
      <w:bookmarkStart w:id="22" w:name="_Ref317418022"/>
      <w:r w:rsidRPr="00393E7A">
        <w:rPr>
          <w:lang w:val="en-GB" w:eastAsia="nl-BE"/>
        </w:rPr>
        <w:t xml:space="preserve">The </w:t>
      </w:r>
      <w:r w:rsidRPr="00393E7A">
        <w:rPr>
          <w:bCs/>
          <w:lang w:val="en-GB"/>
        </w:rPr>
        <w:t>Panel</w:t>
      </w:r>
      <w:r w:rsidRPr="00393E7A">
        <w:rPr>
          <w:lang w:val="en-GB" w:eastAsia="nl-BE"/>
        </w:rPr>
        <w:t xml:space="preserve"> notes that with the adoption of the UNMIK Regulation No. 1999/1 on 25 July 1999 UNMIK undertook an obligation to observe internationally recognised human </w:t>
      </w:r>
      <w:r w:rsidRPr="00393E7A">
        <w:rPr>
          <w:bCs/>
          <w:lang w:val="en-GB"/>
        </w:rPr>
        <w:t>rights</w:t>
      </w:r>
      <w:r w:rsidRPr="00393E7A">
        <w:rPr>
          <w:lang w:val="en-GB" w:eastAsia="nl-BE"/>
        </w:rPr>
        <w:t xml:space="preserve"> standards in exercising its functions. This undertaking was detailed  in UNMIK Regulation No. 1999/24 of 12 December 1999, by which UNMIK assumed obligations under the following human rights instruments</w:t>
      </w:r>
      <w:r w:rsidRPr="00393E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393E7A">
          <w:rPr>
            <w:rStyle w:val="Hyperlink"/>
            <w:color w:val="auto"/>
            <w:u w:val="none"/>
            <w:lang w:val="en-GB"/>
          </w:rPr>
          <w:t>the Convention Against Torture and Other Cruel, Inhuman or Degrading Treatment or Punishment</w:t>
        </w:r>
      </w:hyperlink>
      <w:r w:rsidRPr="00393E7A">
        <w:rPr>
          <w:lang w:val="en-GB"/>
        </w:rPr>
        <w:t>, the Convention on the Rights of the Child.</w:t>
      </w:r>
      <w:bookmarkEnd w:id="21"/>
    </w:p>
    <w:p w:rsidR="003E3F85" w:rsidRPr="00393E7A" w:rsidRDefault="003E3F85" w:rsidP="003E3F85">
      <w:pPr>
        <w:tabs>
          <w:tab w:val="left" w:pos="360"/>
        </w:tabs>
        <w:suppressAutoHyphens/>
        <w:autoSpaceDE w:val="0"/>
        <w:ind w:left="360" w:hanging="360"/>
        <w:jc w:val="both"/>
        <w:rPr>
          <w:lang w:val="en-GB"/>
        </w:rPr>
      </w:pPr>
      <w:bookmarkStart w:id="23" w:name="_Ref317493050"/>
    </w:p>
    <w:p w:rsidR="003E3F85" w:rsidRPr="00393E7A" w:rsidRDefault="003E3F85" w:rsidP="003E3F85">
      <w:pPr>
        <w:numPr>
          <w:ilvl w:val="0"/>
          <w:numId w:val="2"/>
        </w:numPr>
        <w:suppressAutoHyphens/>
        <w:autoSpaceDE w:val="0"/>
        <w:jc w:val="both"/>
        <w:rPr>
          <w:lang w:val="en-GB"/>
        </w:rPr>
      </w:pPr>
      <w:bookmarkStart w:id="24" w:name="_Ref347495661"/>
      <w:r w:rsidRPr="00393E7A">
        <w:rPr>
          <w:rFonts w:cs="CAGLHH+TimesNewRoman"/>
          <w:lang w:val="en-GB"/>
        </w:rPr>
        <w:t xml:space="preserve">The Panel also notes that Section 1.2 of </w:t>
      </w:r>
      <w:r w:rsidRPr="00393E7A">
        <w:rPr>
          <w:bCs/>
          <w:lang w:val="en-GB"/>
        </w:rPr>
        <w:t xml:space="preserve">UNMIK Regulation No. 2006/12 of 23 March 2006 on the Establishment of the Human Rights Advisory Panel </w:t>
      </w:r>
      <w:r w:rsidRPr="00393E7A">
        <w:rPr>
          <w:rFonts w:cs="CAGLHH+TimesNewRoman"/>
          <w:lang w:val="en-GB"/>
        </w:rPr>
        <w:t xml:space="preserve">provides that the Panel “shall examine complaints from any person or group of individuals claiming to be the victim of a violation by UNMIK of (their) human rights”. It </w:t>
      </w:r>
      <w:r w:rsidRPr="00393E7A">
        <w:rPr>
          <w:bCs/>
          <w:lang w:val="en-GB"/>
        </w:rPr>
        <w:t>follows</w:t>
      </w:r>
      <w:r w:rsidRPr="00393E7A">
        <w:rPr>
          <w:rFonts w:cs="CAGLHH+TimesNewRoman"/>
          <w:lang w:val="en-GB"/>
        </w:rPr>
        <w:t xml:space="preserve"> that only acts or omissions attributable to UNMIK fall within the jurisdiction </w:t>
      </w:r>
      <w:r w:rsidRPr="00393E7A">
        <w:rPr>
          <w:rFonts w:cs="CAGLHH+TimesNewRoman"/>
          <w:i/>
          <w:lang w:val="en-GB"/>
        </w:rPr>
        <w:t>ratione personae</w:t>
      </w:r>
      <w:r w:rsidRPr="00393E7A">
        <w:rPr>
          <w:rFonts w:cs="CAGLHH+TimesNewRoman"/>
          <w:lang w:val="en-GB"/>
        </w:rPr>
        <w:t xml:space="preserve"> of the Panel. In this respect, it should be noted, as stated above, that as of </w:t>
      </w:r>
      <w:r w:rsidRPr="00393E7A">
        <w:rPr>
          <w:lang w:val="en-GB"/>
        </w:rPr>
        <w:t xml:space="preserve">9 December 2008, UNMIK </w:t>
      </w:r>
      <w:r w:rsidRPr="00393E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393E7A">
        <w:rPr>
          <w:bCs/>
          <w:i/>
          <w:lang w:val="en-GB"/>
        </w:rPr>
        <w:t>ratione personae</w:t>
      </w:r>
      <w:r w:rsidRPr="00393E7A">
        <w:rPr>
          <w:bCs/>
          <w:lang w:val="en-GB"/>
        </w:rPr>
        <w:t xml:space="preserve"> of the Panel.</w:t>
      </w:r>
      <w:bookmarkEnd w:id="23"/>
      <w:bookmarkEnd w:id="24"/>
    </w:p>
    <w:p w:rsidR="003E3F85" w:rsidRPr="00393E7A" w:rsidRDefault="003E3F85" w:rsidP="003E3F85">
      <w:pPr>
        <w:pStyle w:val="ListParagraph"/>
        <w:tabs>
          <w:tab w:val="left" w:pos="360"/>
        </w:tabs>
        <w:ind w:left="360" w:hanging="360"/>
        <w:rPr>
          <w:lang w:val="en-GB"/>
        </w:rPr>
      </w:pPr>
    </w:p>
    <w:p w:rsidR="003E3F85" w:rsidRPr="00D10BD5" w:rsidRDefault="003E3F85" w:rsidP="003E3F85">
      <w:pPr>
        <w:numPr>
          <w:ilvl w:val="0"/>
          <w:numId w:val="2"/>
        </w:numPr>
        <w:suppressAutoHyphens/>
        <w:autoSpaceDE w:val="0"/>
        <w:jc w:val="both"/>
        <w:rPr>
          <w:bCs/>
          <w:lang w:val="en-GB"/>
        </w:rPr>
      </w:pPr>
      <w:r w:rsidRPr="00D10BD5">
        <w:rPr>
          <w:rFonts w:cs="CAGLHH+TimesNewRoman"/>
          <w:lang w:val="en-GB"/>
        </w:rPr>
        <w:t xml:space="preserve">Likewise, the Panel emphasises that, as far as its jurisdiction </w:t>
      </w:r>
      <w:r w:rsidRPr="00D10BD5">
        <w:rPr>
          <w:rFonts w:cs="CAGLHH+TimesNewRoman"/>
          <w:i/>
          <w:lang w:val="en-GB"/>
        </w:rPr>
        <w:t>ratione materiae</w:t>
      </w:r>
      <w:r w:rsidRPr="00D10BD5">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746BC" w:rsidRPr="00D10BD5">
        <w:fldChar w:fldCharType="begin"/>
      </w:r>
      <w:r w:rsidR="00D746BC" w:rsidRPr="00D10BD5">
        <w:instrText xml:space="preserve"> REF _Ref347321462 \r \h  \* MERGEFORMAT </w:instrText>
      </w:r>
      <w:r w:rsidR="00D746BC" w:rsidRPr="00D10BD5">
        <w:fldChar w:fldCharType="separate"/>
      </w:r>
      <w:r w:rsidR="002F62D4" w:rsidRPr="002F62D4">
        <w:rPr>
          <w:rFonts w:cs="CAGLHH+TimesNewRoman"/>
          <w:lang w:val="en-GB"/>
        </w:rPr>
        <w:t>41</w:t>
      </w:r>
      <w:r w:rsidR="00D746BC" w:rsidRPr="00D10BD5">
        <w:fldChar w:fldCharType="end"/>
      </w:r>
      <w:r w:rsidRPr="00D10BD5">
        <w:rPr>
          <w:rFonts w:cs="CAGLHH+TimesNewRoman"/>
          <w:lang w:val="en-GB"/>
        </w:rPr>
        <w:t>).</w:t>
      </w:r>
      <w:r w:rsidRPr="00D10BD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393E7A" w:rsidRDefault="003E3F85" w:rsidP="003E3F85">
      <w:pPr>
        <w:pStyle w:val="ListParagraph"/>
        <w:tabs>
          <w:tab w:val="left" w:pos="360"/>
        </w:tabs>
        <w:ind w:left="360" w:hanging="360"/>
        <w:rPr>
          <w:bCs/>
          <w:lang w:val="en-GB"/>
        </w:rPr>
      </w:pPr>
    </w:p>
    <w:p w:rsidR="003E3F85" w:rsidRPr="00393E7A" w:rsidRDefault="003E3F85" w:rsidP="003E3F85">
      <w:pPr>
        <w:numPr>
          <w:ilvl w:val="0"/>
          <w:numId w:val="2"/>
        </w:numPr>
        <w:tabs>
          <w:tab w:val="left" w:pos="630"/>
          <w:tab w:val="left" w:pos="2790"/>
        </w:tabs>
        <w:suppressAutoHyphens/>
        <w:autoSpaceDE w:val="0"/>
        <w:jc w:val="both"/>
        <w:rPr>
          <w:bCs/>
          <w:lang w:val="en-GB"/>
        </w:rPr>
      </w:pPr>
      <w:bookmarkStart w:id="25" w:name="_Ref346123885"/>
      <w:r w:rsidRPr="00393E7A">
        <w:rPr>
          <w:bCs/>
          <w:lang w:val="en-GB"/>
        </w:rPr>
        <w:t>The Panel further notes that Section 2 of UNMIK Regulation No. 2006/12 provides that t</w:t>
      </w:r>
      <w:r w:rsidRPr="00393E7A">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393E7A">
        <w:rPr>
          <w:rFonts w:cs="CAGLHH+TimesNewRoman"/>
          <w:i/>
          <w:lang w:val="en-GB"/>
        </w:rPr>
        <w:t>ratione temporis</w:t>
      </w:r>
      <w:r w:rsidRPr="00393E7A">
        <w:rPr>
          <w:rFonts w:cs="CAGLHH+TimesNewRoman"/>
          <w:lang w:val="en-GB"/>
        </w:rPr>
        <w:t xml:space="preserve"> of the Panel. However, to the extent that such events gave rise to a continuing situation, the Panel has jurisdiction to examine complaints relating to that situation</w:t>
      </w:r>
      <w:bookmarkEnd w:id="22"/>
      <w:r w:rsidRPr="00393E7A">
        <w:rPr>
          <w:rFonts w:cs="CAGLHH+TimesNewRoman"/>
          <w:lang w:val="en-GB"/>
        </w:rPr>
        <w:t xml:space="preserve"> (see European Court of Human Rights (ECtHR), Grand Chamber [GC], </w:t>
      </w:r>
      <w:r w:rsidRPr="00393E7A">
        <w:rPr>
          <w:rFonts w:cs="CAGLHH+TimesNewRoman"/>
          <w:i/>
          <w:lang w:val="en-GB"/>
        </w:rPr>
        <w:t xml:space="preserve">Varnava and Others v. </w:t>
      </w:r>
      <w:r w:rsidRPr="00393E7A">
        <w:rPr>
          <w:rFonts w:cs="CAGLHH+TimesNewRoman"/>
          <w:i/>
          <w:lang w:val="en-GB"/>
        </w:rPr>
        <w:lastRenderedPageBreak/>
        <w:t>Turkey</w:t>
      </w:r>
      <w:r w:rsidRPr="00393E7A">
        <w:rPr>
          <w:rFonts w:cs="CAGLHH+TimesNewRoman"/>
          <w:lang w:val="en-GB"/>
        </w:rPr>
        <w:t xml:space="preserve">, nos. 16064/90 and others, judgment of 18 September 2009, §§ 147-149; ECtHR, </w:t>
      </w:r>
      <w:r w:rsidRPr="00393E7A">
        <w:rPr>
          <w:rFonts w:cs="CAGLHH+TimesNewRoman"/>
          <w:i/>
          <w:lang w:val="en-GB"/>
        </w:rPr>
        <w:t xml:space="preserve">Cyprus v. Turkey </w:t>
      </w:r>
      <w:r w:rsidRPr="00393E7A">
        <w:rPr>
          <w:rFonts w:cs="CAGLHH+TimesNewRoman"/>
          <w:lang w:val="en-GB"/>
        </w:rPr>
        <w:t xml:space="preserve">[GC] no. </w:t>
      </w:r>
      <w:r w:rsidRPr="00393E7A">
        <w:rPr>
          <w:rStyle w:val="s85f22697"/>
          <w:lang w:val="en-GB"/>
        </w:rPr>
        <w:t>25781/94, judgment of 10 May 2001,</w:t>
      </w:r>
      <w:r w:rsidRPr="00393E7A">
        <w:rPr>
          <w:rFonts w:cs="CAGLHH+TimesNewRoman"/>
          <w:lang w:val="en-GB"/>
        </w:rPr>
        <w:t xml:space="preserve"> § 136, ECHR 2001-IV).</w:t>
      </w:r>
      <w:bookmarkEnd w:id="25"/>
      <w:r w:rsidRPr="00393E7A">
        <w:rPr>
          <w:rFonts w:cs="CAGLHH+TimesNewRoman"/>
          <w:lang w:val="en-GB"/>
        </w:rPr>
        <w:t xml:space="preserve"> </w:t>
      </w:r>
    </w:p>
    <w:p w:rsidR="003E3F85" w:rsidRPr="00393E7A" w:rsidRDefault="003E3F85" w:rsidP="003E3F85">
      <w:pPr>
        <w:jc w:val="both"/>
        <w:rPr>
          <w:lang w:val="en-GB"/>
        </w:rPr>
      </w:pPr>
    </w:p>
    <w:p w:rsidR="003E3F85" w:rsidRPr="00393E7A" w:rsidRDefault="003E3F85" w:rsidP="003E3F85">
      <w:pPr>
        <w:pStyle w:val="ListParagraph"/>
        <w:numPr>
          <w:ilvl w:val="1"/>
          <w:numId w:val="1"/>
        </w:numPr>
        <w:tabs>
          <w:tab w:val="clear" w:pos="360"/>
          <w:tab w:val="left" w:pos="357"/>
        </w:tabs>
        <w:autoSpaceDE w:val="0"/>
        <w:contextualSpacing/>
        <w:jc w:val="both"/>
        <w:rPr>
          <w:b/>
          <w:bCs/>
          <w:lang w:val="en-GB"/>
        </w:rPr>
      </w:pPr>
      <w:r w:rsidRPr="00393E7A">
        <w:rPr>
          <w:b/>
          <w:bCs/>
          <w:lang w:val="en-GB"/>
        </w:rPr>
        <w:t xml:space="preserve">The Parties’ submissions </w:t>
      </w:r>
    </w:p>
    <w:p w:rsidR="003E3F85" w:rsidRPr="00393E7A" w:rsidRDefault="003E3F85" w:rsidP="003E3F85">
      <w:pPr>
        <w:rPr>
          <w:b/>
          <w:lang w:val="en-GB"/>
        </w:rPr>
      </w:pPr>
    </w:p>
    <w:p w:rsidR="003E3F85" w:rsidRPr="00D10BD5" w:rsidRDefault="003E3F85" w:rsidP="003E3F85">
      <w:pPr>
        <w:numPr>
          <w:ilvl w:val="0"/>
          <w:numId w:val="2"/>
        </w:numPr>
        <w:suppressAutoHyphens/>
        <w:autoSpaceDE w:val="0"/>
        <w:jc w:val="both"/>
        <w:rPr>
          <w:lang w:val="en-GB"/>
        </w:rPr>
      </w:pPr>
      <w:r w:rsidRPr="00D10BD5">
        <w:rPr>
          <w:lang w:val="en-GB"/>
        </w:rPr>
        <w:t>The complainant in substance alleges a violation concerning the lack of an adequate criminal investigation into</w:t>
      </w:r>
      <w:r w:rsidR="002948A6" w:rsidRPr="00D10BD5">
        <w:rPr>
          <w:lang w:val="en-GB"/>
        </w:rPr>
        <w:t xml:space="preserve"> the</w:t>
      </w:r>
      <w:r w:rsidR="00622236" w:rsidRPr="00D10BD5">
        <w:rPr>
          <w:lang w:val="en-GB"/>
        </w:rPr>
        <w:t xml:space="preserve"> </w:t>
      </w:r>
      <w:r w:rsidR="00954A3E" w:rsidRPr="00D10BD5">
        <w:rPr>
          <w:lang w:val="en-GB"/>
        </w:rPr>
        <w:t>abduction</w:t>
      </w:r>
      <w:r w:rsidR="00622236" w:rsidRPr="00D10BD5">
        <w:rPr>
          <w:lang w:val="en-GB"/>
        </w:rPr>
        <w:t xml:space="preserve"> and</w:t>
      </w:r>
      <w:r w:rsidRPr="00D10BD5">
        <w:rPr>
          <w:lang w:val="en-GB"/>
        </w:rPr>
        <w:t xml:space="preserve"> </w:t>
      </w:r>
      <w:r w:rsidR="00EF6F9F" w:rsidRPr="00D10BD5">
        <w:rPr>
          <w:lang w:val="en-GB"/>
        </w:rPr>
        <w:t>killing</w:t>
      </w:r>
      <w:r w:rsidR="002948A6" w:rsidRPr="00D10BD5">
        <w:rPr>
          <w:lang w:val="en-GB"/>
        </w:rPr>
        <w:t xml:space="preserve"> of </w:t>
      </w:r>
      <w:r w:rsidR="00EF6F9F" w:rsidRPr="00D10BD5">
        <w:rPr>
          <w:lang w:val="en-GB"/>
        </w:rPr>
        <w:t xml:space="preserve">Mr </w:t>
      </w:r>
      <w:proofErr w:type="spellStart"/>
      <w:r w:rsidR="00EF6F9F" w:rsidRPr="00D10BD5">
        <w:rPr>
          <w:lang w:val="en-GB"/>
        </w:rPr>
        <w:t>Ðorđe</w:t>
      </w:r>
      <w:proofErr w:type="spellEnd"/>
      <w:r w:rsidR="00EF6F9F" w:rsidRPr="00D10BD5">
        <w:rPr>
          <w:lang w:val="en-GB"/>
        </w:rPr>
        <w:t xml:space="preserve"> </w:t>
      </w:r>
      <w:proofErr w:type="spellStart"/>
      <w:r w:rsidR="00EF6F9F" w:rsidRPr="00D10BD5">
        <w:rPr>
          <w:lang w:val="en-GB"/>
        </w:rPr>
        <w:t>Kuzmanović</w:t>
      </w:r>
      <w:proofErr w:type="spellEnd"/>
      <w:r w:rsidR="002948A6" w:rsidRPr="00D10BD5">
        <w:rPr>
          <w:lang w:val="en-GB"/>
        </w:rPr>
        <w:t>.</w:t>
      </w:r>
    </w:p>
    <w:p w:rsidR="002948A6" w:rsidRPr="00393E7A" w:rsidRDefault="002948A6" w:rsidP="002948A6">
      <w:pPr>
        <w:suppressAutoHyphens/>
        <w:autoSpaceDE w:val="0"/>
        <w:ind w:left="360"/>
        <w:jc w:val="both"/>
        <w:rPr>
          <w:lang w:val="en-GB"/>
        </w:rPr>
      </w:pPr>
    </w:p>
    <w:p w:rsidR="003E3F85" w:rsidRPr="00393E7A" w:rsidRDefault="003E3F85" w:rsidP="003E3F85">
      <w:pPr>
        <w:numPr>
          <w:ilvl w:val="0"/>
          <w:numId w:val="2"/>
        </w:numPr>
        <w:suppressAutoHyphens/>
        <w:autoSpaceDE w:val="0"/>
        <w:jc w:val="both"/>
        <w:rPr>
          <w:bCs/>
          <w:lang w:val="en-GB"/>
        </w:rPr>
      </w:pPr>
      <w:r w:rsidRPr="00393E7A">
        <w:rPr>
          <w:bCs/>
          <w:lang w:val="en-GB"/>
        </w:rPr>
        <w:t xml:space="preserve">In his comments on the merits of the complaint, the SRSG </w:t>
      </w:r>
      <w:r w:rsidRPr="00393E7A">
        <w:rPr>
          <w:lang w:val="en-GB"/>
        </w:rPr>
        <w:t xml:space="preserve">does not dispute </w:t>
      </w:r>
      <w:r w:rsidRPr="00393E7A">
        <w:rPr>
          <w:bCs/>
          <w:lang w:val="en-GB"/>
        </w:rPr>
        <w:t xml:space="preserve">that UNMIK had </w:t>
      </w:r>
      <w:r w:rsidRPr="00B60541">
        <w:rPr>
          <w:bCs/>
          <w:lang w:val="en-GB"/>
        </w:rPr>
        <w:t xml:space="preserve">a responsibility to conduct an effective investigation into </w:t>
      </w:r>
      <w:r w:rsidR="00622236" w:rsidRPr="00B60541">
        <w:rPr>
          <w:lang w:val="en-GB"/>
        </w:rPr>
        <w:t xml:space="preserve">the </w:t>
      </w:r>
      <w:r w:rsidR="00954A3E" w:rsidRPr="00B60541">
        <w:rPr>
          <w:lang w:val="en-GB"/>
        </w:rPr>
        <w:t>abduction</w:t>
      </w:r>
      <w:r w:rsidR="00423598" w:rsidRPr="00B60541">
        <w:rPr>
          <w:lang w:val="en-GB"/>
        </w:rPr>
        <w:t xml:space="preserve"> and </w:t>
      </w:r>
      <w:r w:rsidR="00EF6F9F" w:rsidRPr="00B60541">
        <w:rPr>
          <w:lang w:val="en-GB"/>
        </w:rPr>
        <w:t>killing</w:t>
      </w:r>
      <w:r w:rsidR="00622236" w:rsidRPr="00B60541">
        <w:rPr>
          <w:lang w:val="en-GB"/>
        </w:rPr>
        <w:t xml:space="preserve"> of </w:t>
      </w:r>
      <w:r w:rsidR="00EF6F9F" w:rsidRPr="00B60541">
        <w:rPr>
          <w:lang w:val="en-GB"/>
        </w:rPr>
        <w:t xml:space="preserve">Mr </w:t>
      </w:r>
      <w:proofErr w:type="spellStart"/>
      <w:r w:rsidR="00EF6F9F" w:rsidRPr="00B60541">
        <w:rPr>
          <w:lang w:val="en-GB"/>
        </w:rPr>
        <w:t>Ðorđe</w:t>
      </w:r>
      <w:proofErr w:type="spellEnd"/>
      <w:r w:rsidR="00EF6F9F" w:rsidRPr="00B60541">
        <w:rPr>
          <w:lang w:val="en-GB"/>
        </w:rPr>
        <w:t xml:space="preserve"> </w:t>
      </w:r>
      <w:proofErr w:type="spellStart"/>
      <w:r w:rsidR="00EF6F9F" w:rsidRPr="00B60541">
        <w:rPr>
          <w:lang w:val="en-GB"/>
        </w:rPr>
        <w:t>Kuzmanović</w:t>
      </w:r>
      <w:proofErr w:type="spellEnd"/>
      <w:r w:rsidRPr="00B60541">
        <w:rPr>
          <w:b/>
          <w:bCs/>
          <w:lang w:val="en-GB"/>
        </w:rPr>
        <w:t>,</w:t>
      </w:r>
      <w:r w:rsidRPr="00B60541">
        <w:rPr>
          <w:bCs/>
          <w:lang w:val="en-GB"/>
        </w:rPr>
        <w:t xml:space="preserve"> in line with its general obligation to secure the effective implementation of the domestic laws which protect the right to life, given to it by UN Security Council Resolution 1244 (1999) and further defined by UNMIK Regulation No. 1999/1 </w:t>
      </w:r>
      <w:r w:rsidRPr="00B60541">
        <w:rPr>
          <w:bCs/>
          <w:i/>
          <w:lang w:val="en-GB"/>
        </w:rPr>
        <w:t>On the Authority of the Interim Administration in Kosovo</w:t>
      </w:r>
      <w:r w:rsidRPr="00B60541">
        <w:rPr>
          <w:bCs/>
          <w:lang w:val="en-GB"/>
        </w:rPr>
        <w:t xml:space="preserve"> and subsequently, UNMIK Regulation 1999/24 </w:t>
      </w:r>
      <w:r w:rsidRPr="00B60541">
        <w:rPr>
          <w:bCs/>
          <w:i/>
          <w:lang w:val="en-GB"/>
        </w:rPr>
        <w:t>On the Law Applicable in Kosovo,</w:t>
      </w:r>
      <w:r w:rsidRPr="00B60541">
        <w:rPr>
          <w:bCs/>
          <w:lang w:val="en-GB"/>
        </w:rPr>
        <w:t xml:space="preserve"> and Article 2 of the ECHR.</w:t>
      </w:r>
    </w:p>
    <w:p w:rsidR="003E3F85" w:rsidRPr="00393E7A" w:rsidRDefault="003E3F85" w:rsidP="003E3F85">
      <w:pPr>
        <w:suppressAutoHyphens/>
        <w:autoSpaceDE w:val="0"/>
        <w:ind w:left="360"/>
        <w:jc w:val="both"/>
        <w:rPr>
          <w:bCs/>
          <w:lang w:val="en-GB"/>
        </w:rPr>
      </w:pPr>
    </w:p>
    <w:p w:rsidR="000944B0" w:rsidRDefault="003E3F85" w:rsidP="00E130C1">
      <w:pPr>
        <w:numPr>
          <w:ilvl w:val="0"/>
          <w:numId w:val="2"/>
        </w:numPr>
        <w:suppressAutoHyphens/>
        <w:autoSpaceDE w:val="0"/>
        <w:jc w:val="both"/>
        <w:rPr>
          <w:bCs/>
          <w:lang w:val="en-GB"/>
        </w:rPr>
      </w:pPr>
      <w:r w:rsidRPr="00393E7A">
        <w:t>In this regard, the SRSG stresses that this responsibility stems from the procedural obligation under Article 2 of the ECHR to conduct an effective investigation where death occurs in suspicious circumstances not imputable to State agents.</w:t>
      </w:r>
      <w:bookmarkStart w:id="26" w:name="_Ref347846976"/>
      <w:r w:rsidRPr="00393E7A">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26"/>
    </w:p>
    <w:p w:rsidR="00E130C1" w:rsidRPr="00E130C1" w:rsidRDefault="00E130C1" w:rsidP="00E130C1">
      <w:pPr>
        <w:suppressAutoHyphens/>
        <w:autoSpaceDE w:val="0"/>
        <w:jc w:val="both"/>
        <w:rPr>
          <w:bCs/>
          <w:lang w:val="en-GB"/>
        </w:rPr>
      </w:pPr>
    </w:p>
    <w:p w:rsidR="00E130C1" w:rsidRPr="00E130C1" w:rsidRDefault="00A62C6D" w:rsidP="00E130C1">
      <w:pPr>
        <w:numPr>
          <w:ilvl w:val="0"/>
          <w:numId w:val="2"/>
        </w:numPr>
        <w:tabs>
          <w:tab w:val="left" w:pos="709"/>
        </w:tabs>
        <w:suppressAutoHyphens/>
        <w:autoSpaceDE w:val="0"/>
        <w:jc w:val="both"/>
        <w:rPr>
          <w:lang w:eastAsia="nl-NL"/>
        </w:rPr>
      </w:pPr>
      <w:r w:rsidRPr="000944B0">
        <w:rPr>
          <w:lang w:val="en-GB"/>
        </w:rPr>
        <w:t>The SRSG adds that from June</w:t>
      </w:r>
      <w:r w:rsidR="003E3F85" w:rsidRPr="000944B0">
        <w:rPr>
          <w:lang w:val="en-GB"/>
        </w:rPr>
        <w:t xml:space="preserve"> 1999, “the security situation </w:t>
      </w:r>
      <w:r w:rsidR="00622236" w:rsidRPr="000944B0">
        <w:rPr>
          <w:lang w:val="en-GB"/>
        </w:rPr>
        <w:t xml:space="preserve">in post-conflict Kosovo was tense: </w:t>
      </w:r>
      <w:r w:rsidR="003E3F85" w:rsidRPr="000944B0">
        <w:rPr>
          <w:lang w:val="en-GB"/>
        </w:rPr>
        <w:t>KFOR was still in the process of reaching sufficient strength to maintain public safety and law and order</w:t>
      </w:r>
      <w:r w:rsidR="00622236" w:rsidRPr="000944B0">
        <w:rPr>
          <w:lang w:val="en-GB"/>
        </w:rPr>
        <w:t>;</w:t>
      </w:r>
      <w:r w:rsidR="003E3F85" w:rsidRPr="000944B0">
        <w:rPr>
          <w:lang w:val="en-GB"/>
        </w:rPr>
        <w:t xml:space="preserve"> and there were a number of serious criminal incidents targeting Kosovo-Serbs, including abductions and killings.”</w:t>
      </w:r>
      <w:r w:rsidR="000944B0" w:rsidRPr="000944B0">
        <w:rPr>
          <w:lang w:eastAsia="nl-NL"/>
        </w:rPr>
        <w:t xml:space="preserve"> </w:t>
      </w:r>
      <w:r w:rsidR="000944B0" w:rsidRPr="00D60567">
        <w:rPr>
          <w:lang w:eastAsia="nl-NL"/>
        </w:rPr>
        <w:t xml:space="preserve">Citing the </w:t>
      </w:r>
      <w:r w:rsidR="000944B0" w:rsidRPr="000944B0">
        <w:rPr>
          <w:color w:val="000000" w:themeColor="text1"/>
          <w:lang w:val="en-GB"/>
        </w:rPr>
        <w:t xml:space="preserve">UN Secretary-General’s report to the United Nations Security Council of 12 June 1999, the SRSG describes the situation as follows: </w:t>
      </w:r>
    </w:p>
    <w:p w:rsidR="00E130C1" w:rsidRDefault="00E130C1" w:rsidP="00E130C1">
      <w:pPr>
        <w:pStyle w:val="ListParagraph"/>
        <w:rPr>
          <w:lang w:eastAsia="nl-NL"/>
        </w:rPr>
      </w:pPr>
    </w:p>
    <w:p w:rsidR="00E130C1" w:rsidRDefault="00E130C1" w:rsidP="000812D7">
      <w:pPr>
        <w:ind w:left="720" w:right="567"/>
        <w:jc w:val="both"/>
        <w:rPr>
          <w:lang w:eastAsia="nl-NL"/>
        </w:rPr>
      </w:pPr>
      <w:r>
        <w:rPr>
          <w:lang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w:t>
      </w:r>
      <w:proofErr w:type="spellStart"/>
      <w:r>
        <w:rPr>
          <w:lang w:eastAsia="nl-NL"/>
        </w:rPr>
        <w:t>Pec</w:t>
      </w:r>
      <w:proofErr w:type="spellEnd"/>
      <w:r>
        <w:rPr>
          <w:lang w:eastAsia="nl-NL"/>
        </w:rPr>
        <w:t xml:space="preserve"> are practically deserted by Kosovo Serbs, and the towns of Mitrovica and Orahovac are divided along ethnic lines. </w:t>
      </w:r>
    </w:p>
    <w:p w:rsidR="00E130C1" w:rsidRDefault="00E130C1" w:rsidP="00EF6600">
      <w:pPr>
        <w:tabs>
          <w:tab w:val="left" w:pos="709"/>
        </w:tabs>
        <w:suppressAutoHyphens/>
        <w:autoSpaceDE w:val="0"/>
        <w:ind w:left="709"/>
        <w:jc w:val="both"/>
        <w:rPr>
          <w:lang w:eastAsia="nl-NL"/>
        </w:rPr>
      </w:pPr>
    </w:p>
    <w:p w:rsidR="00E130C1" w:rsidRDefault="00E130C1" w:rsidP="000812D7">
      <w:pPr>
        <w:ind w:left="720" w:right="567"/>
        <w:jc w:val="both"/>
        <w:rPr>
          <w:lang w:eastAsia="nl-NL"/>
        </w:rPr>
      </w:pPr>
      <w:r>
        <w:rPr>
          <w:lang w:eastAsia="nl-NL"/>
        </w:rPr>
        <w:t xml:space="preserve">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w:t>
      </w:r>
      <w:r>
        <w:rPr>
          <w:lang w:eastAsia="nl-NL"/>
        </w:rPr>
        <w:lastRenderedPageBreak/>
        <w:t>process of building up its forces. The absence of a legitimate police force, both international and local, is deeply felt, and therefore will have to be addressed as a matter of priority.”</w:t>
      </w:r>
    </w:p>
    <w:p w:rsidR="00E130C1" w:rsidRDefault="00E130C1" w:rsidP="00E130C1">
      <w:pPr>
        <w:pStyle w:val="ListParagraph"/>
        <w:rPr>
          <w:rFonts w:cs="CAGLHH+TimesNewRoman"/>
          <w:color w:val="000000" w:themeColor="text1"/>
          <w:lang w:val="en-GB"/>
        </w:rPr>
      </w:pPr>
    </w:p>
    <w:p w:rsidR="00E130C1" w:rsidRPr="00E130C1" w:rsidRDefault="000944B0" w:rsidP="00E130C1">
      <w:pPr>
        <w:numPr>
          <w:ilvl w:val="0"/>
          <w:numId w:val="2"/>
        </w:numPr>
        <w:tabs>
          <w:tab w:val="left" w:pos="709"/>
        </w:tabs>
        <w:suppressAutoHyphens/>
        <w:autoSpaceDE w:val="0"/>
        <w:jc w:val="both"/>
        <w:rPr>
          <w:lang w:eastAsia="nl-NL"/>
        </w:rPr>
      </w:pPr>
      <w:r w:rsidRPr="00E130C1">
        <w:rPr>
          <w:rFonts w:cs="CAGLHH+TimesNewRoman"/>
          <w:color w:val="000000" w:themeColor="text1"/>
          <w:lang w:val="en-GB"/>
        </w:rPr>
        <w:t>The SRSG underlines that the complainant does not allege a violation of the substantive part of Article 2,</w:t>
      </w:r>
      <w:r w:rsidRPr="00E130C1">
        <w:rPr>
          <w:color w:val="000000" w:themeColor="text1"/>
          <w:lang w:val="en-GB"/>
        </w:rPr>
        <w:t xml:space="preserve">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E130C1">
        <w:rPr>
          <w:color w:val="000000" w:themeColor="text1"/>
          <w:lang w:val="en-GB"/>
        </w:rPr>
        <w:t>.</w:t>
      </w:r>
    </w:p>
    <w:p w:rsidR="00E130C1" w:rsidRDefault="00E130C1" w:rsidP="00E130C1">
      <w:pPr>
        <w:tabs>
          <w:tab w:val="left" w:pos="709"/>
        </w:tabs>
        <w:suppressAutoHyphens/>
        <w:autoSpaceDE w:val="0"/>
        <w:ind w:left="360"/>
        <w:jc w:val="both"/>
        <w:rPr>
          <w:lang w:eastAsia="nl-NL"/>
        </w:rPr>
      </w:pPr>
    </w:p>
    <w:p w:rsidR="00E130C1" w:rsidRPr="00E130C1" w:rsidRDefault="000944B0" w:rsidP="00E130C1">
      <w:pPr>
        <w:numPr>
          <w:ilvl w:val="0"/>
          <w:numId w:val="2"/>
        </w:numPr>
        <w:tabs>
          <w:tab w:val="left" w:pos="709"/>
        </w:tabs>
        <w:suppressAutoHyphens/>
        <w:autoSpaceDE w:val="0"/>
        <w:jc w:val="both"/>
        <w:rPr>
          <w:lang w:eastAsia="nl-NL"/>
        </w:rPr>
      </w:pPr>
      <w:r w:rsidRPr="00E130C1">
        <w:rPr>
          <w:color w:val="000000" w:themeColor="text1"/>
        </w:rPr>
        <w:t xml:space="preserve">The </w:t>
      </w:r>
      <w:r w:rsidRPr="00E130C1">
        <w:rPr>
          <w:rFonts w:cs="CAGLHH+TimesNewRoman"/>
          <w:color w:val="000000" w:themeColor="text1"/>
          <w:lang w:val="en-GB"/>
        </w:rPr>
        <w:t>SRSG</w:t>
      </w:r>
      <w:r w:rsidRPr="00E130C1">
        <w:rPr>
          <w:color w:val="000000" w:themeColor="text1"/>
        </w:rPr>
        <w:t xml:space="preserve">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E130C1">
        <w:rPr>
          <w:i/>
          <w:color w:val="000000" w:themeColor="text1"/>
        </w:rPr>
        <w:t>Palić v. Bosnia and Herzegovina</w:t>
      </w:r>
      <w:r w:rsidRPr="00E130C1">
        <w:rPr>
          <w:color w:val="000000" w:themeColor="text1"/>
        </w:rPr>
        <w:t>, stating at paragraph 70:</w:t>
      </w:r>
    </w:p>
    <w:p w:rsidR="00E130C1" w:rsidRDefault="00E130C1" w:rsidP="00E130C1">
      <w:pPr>
        <w:pStyle w:val="ListParagraph"/>
        <w:rPr>
          <w:lang w:eastAsia="nl-NL"/>
        </w:rPr>
      </w:pPr>
    </w:p>
    <w:p w:rsidR="00E130C1" w:rsidRDefault="00E130C1" w:rsidP="000812D7">
      <w:pPr>
        <w:ind w:left="720" w:right="567"/>
        <w:jc w:val="both"/>
        <w:rPr>
          <w:lang w:eastAsia="nl-NL"/>
        </w:rPr>
      </w:pPr>
      <w:r w:rsidRPr="00E130C1">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6A6191">
        <w:rPr>
          <w:i/>
          <w:lang w:eastAsia="nl-NL"/>
        </w:rPr>
        <w:t>Sejdić</w:t>
      </w:r>
      <w:proofErr w:type="spellEnd"/>
      <w:r w:rsidRPr="006A6191">
        <w:rPr>
          <w:i/>
          <w:lang w:eastAsia="nl-NL"/>
        </w:rPr>
        <w:t xml:space="preserve"> and </w:t>
      </w:r>
      <w:proofErr w:type="spellStart"/>
      <w:r w:rsidRPr="006A6191">
        <w:rPr>
          <w:i/>
          <w:lang w:eastAsia="nl-NL"/>
        </w:rPr>
        <w:t>Finci</w:t>
      </w:r>
      <w:proofErr w:type="spellEnd"/>
      <w:r w:rsidRPr="00E130C1">
        <w:rPr>
          <w:lang w:eastAsia="nl-NL"/>
        </w:rPr>
        <w:t xml:space="preserve"> v. Bosnia Herzegovina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E130C1" w:rsidRDefault="00E130C1" w:rsidP="00E130C1">
      <w:pPr>
        <w:pStyle w:val="ListParagraph"/>
        <w:rPr>
          <w:color w:val="000000" w:themeColor="text1"/>
        </w:rPr>
      </w:pPr>
    </w:p>
    <w:p w:rsidR="000944B0" w:rsidRPr="00E130C1" w:rsidRDefault="000944B0" w:rsidP="00E130C1">
      <w:pPr>
        <w:numPr>
          <w:ilvl w:val="0"/>
          <w:numId w:val="2"/>
        </w:numPr>
        <w:tabs>
          <w:tab w:val="left" w:pos="709"/>
        </w:tabs>
        <w:suppressAutoHyphens/>
        <w:autoSpaceDE w:val="0"/>
        <w:jc w:val="both"/>
        <w:rPr>
          <w:lang w:eastAsia="nl-NL"/>
        </w:rPr>
      </w:pPr>
      <w:r w:rsidRPr="00E130C1">
        <w:rPr>
          <w:color w:val="000000" w:themeColor="text1"/>
        </w:rPr>
        <w:lastRenderedPageBreak/>
        <w:t xml:space="preserve">In the view of the SRSG, UNMIK faced a very similar situation in Kosovo “from 1999 to </w:t>
      </w:r>
      <w:r w:rsidRPr="00E130C1">
        <w:rPr>
          <w:rFonts w:cs="CAGLHH+TimesNewRoman"/>
          <w:color w:val="000000" w:themeColor="text1"/>
          <w:lang w:val="en-GB"/>
        </w:rPr>
        <w:t>2008</w:t>
      </w:r>
      <w:r w:rsidRPr="00E130C1">
        <w:rPr>
          <w:color w:val="000000" w:themeColor="text1"/>
        </w:rPr>
        <w:t>” as the one in Bosnia and Herzegovina “from 1995 to 2005”.</w:t>
      </w:r>
    </w:p>
    <w:p w:rsidR="00E130C1" w:rsidRPr="00E130C1" w:rsidRDefault="00E130C1" w:rsidP="00E130C1">
      <w:pPr>
        <w:tabs>
          <w:tab w:val="left" w:pos="709"/>
        </w:tabs>
        <w:suppressAutoHyphens/>
        <w:autoSpaceDE w:val="0"/>
        <w:ind w:left="360"/>
        <w:jc w:val="both"/>
        <w:rPr>
          <w:lang w:eastAsia="nl-NL"/>
        </w:rPr>
      </w:pPr>
    </w:p>
    <w:p w:rsidR="00E130C1" w:rsidRPr="00D60567" w:rsidRDefault="00E130C1" w:rsidP="00E130C1">
      <w:pPr>
        <w:pStyle w:val="ListParagraph"/>
        <w:numPr>
          <w:ilvl w:val="0"/>
          <w:numId w:val="2"/>
        </w:numPr>
        <w:suppressAutoHyphens w:val="0"/>
        <w:jc w:val="both"/>
        <w:rPr>
          <w:lang w:eastAsia="nl-NL"/>
        </w:rPr>
      </w:pPr>
      <w:r w:rsidRPr="00D60567">
        <w:rPr>
          <w:lang w:eastAsia="nl-NL"/>
        </w:rPr>
        <w:t xml:space="preserve">The SRSG states that during the Kosovo conflict thousands of people went missing, at least 800,000 people were displaced and thousands were killed. </w:t>
      </w:r>
      <w:r w:rsidRPr="00D60567">
        <w:rPr>
          <w:lang w:eastAsia="en-US"/>
        </w:rPr>
        <w:t>Many of the persons who went missing were abducted, killed, and buried in unmarked graves inside or outside Kosovo, which made very difficult locating and recovering their mortal remains.</w:t>
      </w:r>
    </w:p>
    <w:p w:rsidR="00E130C1" w:rsidRPr="00D60567" w:rsidRDefault="00E130C1" w:rsidP="00E130C1">
      <w:pPr>
        <w:pStyle w:val="ListParagraph"/>
        <w:rPr>
          <w:lang w:eastAsia="en-US"/>
        </w:rPr>
      </w:pPr>
    </w:p>
    <w:p w:rsidR="00E130C1" w:rsidRDefault="00E130C1" w:rsidP="00E130C1">
      <w:pPr>
        <w:pStyle w:val="ListParagraph"/>
        <w:numPr>
          <w:ilvl w:val="0"/>
          <w:numId w:val="2"/>
        </w:numPr>
        <w:suppressAutoHyphens w:val="0"/>
        <w:jc w:val="both"/>
        <w:rPr>
          <w:lang w:eastAsia="nl-NL"/>
        </w:rPr>
      </w:pPr>
      <w:r w:rsidRPr="00D60567">
        <w:rPr>
          <w:lang w:eastAsia="en-US"/>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D60567">
        <w:rPr>
          <w:lang w:eastAsia="en-US"/>
        </w:rPr>
        <w:t>centralisation</w:t>
      </w:r>
      <w:proofErr w:type="spellEnd"/>
      <w:r w:rsidRPr="00D60567">
        <w:rPr>
          <w:lang w:eastAsia="en-US"/>
        </w:rPr>
        <w:t xml:space="preserve"> led to problems with the evidence gathered in this phase. In 2000, ICTY launched a large, </w:t>
      </w:r>
      <w:proofErr w:type="spellStart"/>
      <w:r w:rsidRPr="00D60567">
        <w:rPr>
          <w:lang w:eastAsia="en-US"/>
        </w:rPr>
        <w:t>centralised</w:t>
      </w:r>
      <w:proofErr w:type="spellEnd"/>
      <w:r w:rsidRPr="00D60567">
        <w:rPr>
          <w:lang w:eastAsia="en-US"/>
        </w:rPr>
        <w:t xml:space="preserve"> forensic operation, based at the Rahovec/Orahovac mortuary,</w:t>
      </w:r>
      <w:r w:rsidRPr="009052DE">
        <w:rPr>
          <w:lang w:eastAsia="en-US"/>
        </w:rPr>
        <w:t xml:space="preserve">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BC74CC">
        <w:rPr>
          <w:i/>
          <w:lang w:eastAsia="en-US"/>
        </w:rPr>
        <w:t>ex-officio</w:t>
      </w:r>
      <w:r w:rsidRPr="009052DE">
        <w:rPr>
          <w:lang w:eastAsia="en-US"/>
        </w:rPr>
        <w:t xml:space="preserve">, without any broader prosecutorial strategy”. As a consequence, a large amount of unstructured information was collected. </w:t>
      </w:r>
    </w:p>
    <w:p w:rsidR="00E130C1" w:rsidRDefault="00E130C1" w:rsidP="00E130C1">
      <w:pPr>
        <w:pStyle w:val="ListParagraph"/>
        <w:suppressAutoHyphens w:val="0"/>
        <w:ind w:left="360"/>
        <w:jc w:val="both"/>
        <w:rPr>
          <w:lang w:eastAsia="nl-NL"/>
        </w:rPr>
      </w:pPr>
    </w:p>
    <w:p w:rsidR="00E130C1" w:rsidRDefault="00E130C1" w:rsidP="00E130C1">
      <w:pPr>
        <w:pStyle w:val="ListParagraph"/>
        <w:numPr>
          <w:ilvl w:val="0"/>
          <w:numId w:val="2"/>
        </w:numPr>
        <w:suppressAutoHyphens w:val="0"/>
        <w:jc w:val="both"/>
        <w:rPr>
          <w:lang w:eastAsia="nl-NL"/>
        </w:rPr>
      </w:pPr>
      <w:r w:rsidRPr="00D939AE">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D939AE">
        <w:t>vigour</w:t>
      </w:r>
      <w:proofErr w:type="spellEnd"/>
      <w:r w:rsidRPr="00D939AE">
        <w:t xml:space="preserve"> of its work </w:t>
      </w:r>
      <w:proofErr w:type="gramStart"/>
      <w:r w:rsidRPr="00D939AE">
        <w:t>between 2002-2008</w:t>
      </w:r>
      <w:proofErr w:type="gramEnd"/>
      <w:r w:rsidRPr="00D939AE">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BC74CC">
        <w:rPr>
          <w:i/>
        </w:rPr>
        <w:t xml:space="preserve">Palić </w:t>
      </w:r>
      <w:r w:rsidRPr="00D939AE">
        <w:t xml:space="preserve">case referred to above. The SRSG further notes that this process was “reliant on a number of actors rather than just UNMIK, for example the International Commission on Missing Persons, the International Committee of the Red </w:t>
      </w:r>
      <w:r>
        <w:t xml:space="preserve">Cross and local missing </w:t>
      </w:r>
      <w:proofErr w:type="gramStart"/>
      <w:r>
        <w:t>persons</w:t>
      </w:r>
      <w:proofErr w:type="gramEnd"/>
      <w:r w:rsidRPr="00D939AE">
        <w:t xml:space="preserve"> </w:t>
      </w:r>
      <w:proofErr w:type="spellStart"/>
      <w:r w:rsidRPr="00D939AE">
        <w:t>organisations</w:t>
      </w:r>
      <w:proofErr w:type="spellEnd"/>
      <w:r w:rsidRPr="00D939AE">
        <w:t xml:space="preserve">.” </w:t>
      </w:r>
    </w:p>
    <w:p w:rsidR="003E3F85" w:rsidRPr="00393E7A" w:rsidRDefault="003E3F85" w:rsidP="00A62C6D">
      <w:pPr>
        <w:autoSpaceDE w:val="0"/>
        <w:jc w:val="both"/>
      </w:pPr>
    </w:p>
    <w:p w:rsidR="003E3F85" w:rsidRPr="00393E7A" w:rsidRDefault="003E3F85" w:rsidP="003E3F85">
      <w:pPr>
        <w:numPr>
          <w:ilvl w:val="0"/>
          <w:numId w:val="2"/>
        </w:numPr>
        <w:tabs>
          <w:tab w:val="left" w:pos="709"/>
        </w:tabs>
        <w:suppressAutoHyphens/>
        <w:autoSpaceDE w:val="0"/>
        <w:jc w:val="both"/>
        <w:rPr>
          <w:lang w:eastAsia="nl-NL"/>
        </w:rPr>
      </w:pPr>
      <w:bookmarkStart w:id="27" w:name="_Ref373942084"/>
      <w:r w:rsidRPr="00393E7A">
        <w:t xml:space="preserve">The </w:t>
      </w:r>
      <w:r w:rsidRPr="00393E7A">
        <w:rPr>
          <w:bCs/>
          <w:lang w:val="en-GB"/>
        </w:rPr>
        <w:t>SRSG</w:t>
      </w:r>
      <w:r w:rsidRPr="00393E7A">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27"/>
    </w:p>
    <w:p w:rsidR="003E3F85" w:rsidRPr="00393E7A" w:rsidRDefault="003E3F85" w:rsidP="003E3F85">
      <w:pPr>
        <w:pStyle w:val="ListParagraph"/>
        <w:rPr>
          <w:lang w:eastAsia="nl-NL"/>
        </w:rPr>
      </w:pPr>
    </w:p>
    <w:p w:rsidR="003E3F85" w:rsidRPr="00393E7A" w:rsidRDefault="003E3F85" w:rsidP="00EF6600">
      <w:pPr>
        <w:ind w:left="720" w:right="567"/>
        <w:jc w:val="both"/>
        <w:rPr>
          <w:lang w:eastAsia="nl-NL"/>
        </w:rPr>
      </w:pPr>
      <w:r w:rsidRPr="00393E7A">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393E7A" w:rsidRDefault="003E3F85" w:rsidP="00EF6600">
      <w:pPr>
        <w:pStyle w:val="ListParagraph"/>
        <w:ind w:left="578"/>
        <w:jc w:val="both"/>
        <w:rPr>
          <w:lang w:eastAsia="nl-NL"/>
        </w:rPr>
      </w:pPr>
    </w:p>
    <w:p w:rsidR="003E3F85" w:rsidRPr="00393E7A" w:rsidRDefault="003E3F85" w:rsidP="00EF6600">
      <w:pPr>
        <w:ind w:left="720" w:right="567"/>
        <w:jc w:val="both"/>
        <w:rPr>
          <w:lang w:eastAsia="nl-NL"/>
        </w:rPr>
      </w:pPr>
      <w:r w:rsidRPr="00393E7A">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393E7A" w:rsidRDefault="003E3F85" w:rsidP="003E3F85">
      <w:pPr>
        <w:pStyle w:val="ListParagraph"/>
        <w:rPr>
          <w:lang w:eastAsia="en-US"/>
        </w:rPr>
      </w:pPr>
    </w:p>
    <w:p w:rsidR="003E3F85" w:rsidRPr="00EF6600" w:rsidRDefault="003E3F85" w:rsidP="003E3F85">
      <w:pPr>
        <w:numPr>
          <w:ilvl w:val="0"/>
          <w:numId w:val="2"/>
        </w:numPr>
        <w:tabs>
          <w:tab w:val="left" w:pos="709"/>
        </w:tabs>
        <w:suppressAutoHyphens/>
        <w:autoSpaceDE w:val="0"/>
        <w:jc w:val="both"/>
        <w:rPr>
          <w:lang w:eastAsia="nl-NL"/>
        </w:rPr>
      </w:pPr>
      <w:r w:rsidRPr="00EF6600">
        <w:t xml:space="preserve">The SRSG states that UNMIK international police officers had to adjust to conducting </w:t>
      </w:r>
      <w:r w:rsidRPr="00EF6600">
        <w:rPr>
          <w:bCs/>
          <w:lang w:val="en-GB"/>
        </w:rPr>
        <w:t>investigations</w:t>
      </w:r>
      <w:r w:rsidRPr="00EF6600">
        <w:t xml:space="preserve"> in</w:t>
      </w:r>
      <w:r w:rsidR="00D142E8" w:rsidRPr="00EF6600">
        <w:t xml:space="preserve"> a foreign territory and cultures</w:t>
      </w:r>
      <w:r w:rsidRPr="00EF6600">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EF6600">
        <w:t>[</w:t>
      </w:r>
      <w:r w:rsidRPr="00EF6600">
        <w:t>s</w:t>
      </w:r>
      <w:r w:rsidR="002948A6" w:rsidRPr="00EF6600">
        <w:t>]</w:t>
      </w:r>
      <w:r w:rsidRPr="00EF6600">
        <w:t>uch constraints inhibited the ability of</w:t>
      </w:r>
      <w:r w:rsidR="002948A6" w:rsidRPr="00EF6600">
        <w:t xml:space="preserve"> an institution such as</w:t>
      </w:r>
      <w:r w:rsidRPr="00EF6600">
        <w:t xml:space="preserve"> UNMIK Police</w:t>
      </w:r>
      <w:r w:rsidR="00A437DF" w:rsidRPr="00EF6600">
        <w:t xml:space="preserve"> to conduct</w:t>
      </w:r>
      <w:r w:rsidR="002948A6" w:rsidRPr="00EF6600">
        <w:t xml:space="preserve"> all</w:t>
      </w:r>
      <w:r w:rsidRPr="00EF6600">
        <w:t xml:space="preserve"> investigation</w:t>
      </w:r>
      <w:r w:rsidR="002948A6" w:rsidRPr="00EF6600">
        <w:t>s in a manner […] that</w:t>
      </w:r>
      <w:r w:rsidRPr="00EF6600">
        <w:t xml:space="preserve"> may be demonstrated, or</w:t>
      </w:r>
      <w:r w:rsidR="002948A6" w:rsidRPr="00EF6600">
        <w:t xml:space="preserve"> at least</w:t>
      </w:r>
      <w:r w:rsidRPr="00EF6600">
        <w:t xml:space="preserve"> expected,</w:t>
      </w:r>
      <w:r w:rsidR="00A62C6D" w:rsidRPr="00EF6600">
        <w:t xml:space="preserve"> in</w:t>
      </w:r>
      <w:r w:rsidR="002948A6" w:rsidRPr="00EF6600">
        <w:t xml:space="preserve"> other</w:t>
      </w:r>
      <w:r w:rsidRPr="00EF6600">
        <w:t xml:space="preserve"> States with</w:t>
      </w:r>
      <w:r w:rsidR="002948A6" w:rsidRPr="00EF6600">
        <w:t xml:space="preserve"> more</w:t>
      </w:r>
      <w:r w:rsidRPr="00EF6600">
        <w:t xml:space="preserve"> established</w:t>
      </w:r>
      <w:r w:rsidR="00A437DF" w:rsidRPr="00EF6600">
        <w:t xml:space="preserve"> </w:t>
      </w:r>
      <w:r w:rsidRPr="00EF6600">
        <w:t>institutions</w:t>
      </w:r>
      <w:r w:rsidR="00A437DF" w:rsidRPr="00EF6600">
        <w:t xml:space="preserve"> and without the surge in cases of this nature</w:t>
      </w:r>
      <w:r w:rsidRPr="00EF6600">
        <w:t xml:space="preserve"> </w:t>
      </w:r>
      <w:r w:rsidR="00A437DF" w:rsidRPr="00EF6600">
        <w:t>associated with a post-conflict situation</w:t>
      </w:r>
      <w:r w:rsidRPr="00EF6600">
        <w:t>.”</w:t>
      </w:r>
      <w:bookmarkStart w:id="28" w:name="_Ref387249369"/>
      <w:bookmarkStart w:id="29" w:name="_Ref373946471"/>
      <w:bookmarkStart w:id="30" w:name="_Ref366698716"/>
    </w:p>
    <w:p w:rsidR="003E3F85" w:rsidRPr="00B60541" w:rsidRDefault="003E3F85" w:rsidP="003E3F85">
      <w:pPr>
        <w:tabs>
          <w:tab w:val="left" w:pos="709"/>
        </w:tabs>
        <w:suppressAutoHyphens/>
        <w:autoSpaceDE w:val="0"/>
        <w:ind w:left="360"/>
        <w:jc w:val="both"/>
        <w:rPr>
          <w:lang w:eastAsia="nl-NL"/>
        </w:rPr>
      </w:pPr>
    </w:p>
    <w:p w:rsidR="00E130C1" w:rsidRPr="00B60541" w:rsidRDefault="003E3F85" w:rsidP="004F45E5">
      <w:pPr>
        <w:numPr>
          <w:ilvl w:val="0"/>
          <w:numId w:val="2"/>
        </w:numPr>
        <w:tabs>
          <w:tab w:val="left" w:pos="709"/>
        </w:tabs>
        <w:suppressAutoHyphens/>
        <w:autoSpaceDE w:val="0"/>
        <w:jc w:val="both"/>
      </w:pPr>
      <w:bookmarkStart w:id="31" w:name="_Ref400716090"/>
      <w:bookmarkStart w:id="32" w:name="_Ref397946236"/>
      <w:bookmarkStart w:id="33" w:name="_Ref390942754"/>
      <w:bookmarkStart w:id="34" w:name="_Ref401246390"/>
      <w:r w:rsidRPr="00B60541">
        <w:rPr>
          <w:bCs/>
          <w:lang w:val="en-GB"/>
        </w:rPr>
        <w:t>With</w:t>
      </w:r>
      <w:r w:rsidRPr="00B60541">
        <w:t xml:space="preserve"> </w:t>
      </w:r>
      <w:r w:rsidR="00A62C6D" w:rsidRPr="00B60541">
        <w:t xml:space="preserve">regard to </w:t>
      </w:r>
      <w:r w:rsidR="00E130C1" w:rsidRPr="00B60541">
        <w:t xml:space="preserve">the case of </w:t>
      </w:r>
      <w:r w:rsidR="00E130C1" w:rsidRPr="00B60541">
        <w:rPr>
          <w:lang w:val="en-GB"/>
        </w:rPr>
        <w:t xml:space="preserve">Mr </w:t>
      </w:r>
      <w:proofErr w:type="spellStart"/>
      <w:r w:rsidR="00E130C1" w:rsidRPr="00B60541">
        <w:rPr>
          <w:lang w:val="en-GB"/>
        </w:rPr>
        <w:t>Ðorđe</w:t>
      </w:r>
      <w:proofErr w:type="spellEnd"/>
      <w:r w:rsidR="00E130C1" w:rsidRPr="00B60541">
        <w:rPr>
          <w:lang w:val="en-GB"/>
        </w:rPr>
        <w:t xml:space="preserve"> </w:t>
      </w:r>
      <w:proofErr w:type="spellStart"/>
      <w:r w:rsidR="00E130C1" w:rsidRPr="00B60541">
        <w:rPr>
          <w:lang w:val="en-GB"/>
        </w:rPr>
        <w:t>Kuzmanović</w:t>
      </w:r>
      <w:proofErr w:type="spellEnd"/>
      <w:r w:rsidR="00E130C1" w:rsidRPr="00B60541">
        <w:rPr>
          <w:lang w:val="en-GB"/>
        </w:rPr>
        <w:t>,</w:t>
      </w:r>
      <w:r w:rsidRPr="00B60541">
        <w:t xml:space="preserve"> the SRSG </w:t>
      </w:r>
      <w:r w:rsidR="00622236" w:rsidRPr="00B60541">
        <w:t>asserts that</w:t>
      </w:r>
      <w:r w:rsidR="00E130C1" w:rsidRPr="00B60541">
        <w:t>, according</w:t>
      </w:r>
      <w:r w:rsidR="00B60541" w:rsidRPr="00B60541">
        <w:t xml:space="preserve"> to</w:t>
      </w:r>
      <w:r w:rsidR="00E130C1" w:rsidRPr="00B60541">
        <w:t xml:space="preserve"> the available documents, upon receiving information about his disappearance, the UNMIK MPU requested “regional offices, border authorities, CCIU, KFOR, ICRC and OSCE” to provide relevant information. However, “</w:t>
      </w:r>
      <w:r w:rsidR="00B60541" w:rsidRPr="00B60541">
        <w:t>[</w:t>
      </w:r>
      <w:r w:rsidR="00E130C1" w:rsidRPr="00B60541">
        <w:t>n</w:t>
      </w:r>
      <w:r w:rsidR="00B60541" w:rsidRPr="00B60541">
        <w:t>]</w:t>
      </w:r>
      <w:r w:rsidR="00E130C1" w:rsidRPr="00B60541">
        <w:t xml:space="preserve">o information was received and no leads could be found to further base any investigation upon”.  The SRSG further states that on 4 September 1999, and again, on 21 October 1999, </w:t>
      </w:r>
      <w:r w:rsidR="00E130C1" w:rsidRPr="00B60541">
        <w:rPr>
          <w:lang w:val="en-GB"/>
        </w:rPr>
        <w:t xml:space="preserve">Mr </w:t>
      </w:r>
      <w:proofErr w:type="spellStart"/>
      <w:r w:rsidR="00E130C1" w:rsidRPr="00B60541">
        <w:rPr>
          <w:lang w:val="en-GB"/>
        </w:rPr>
        <w:t>Ðorđe</w:t>
      </w:r>
      <w:proofErr w:type="spellEnd"/>
      <w:r w:rsidR="00E130C1" w:rsidRPr="00B60541">
        <w:rPr>
          <w:lang w:val="en-GB"/>
        </w:rPr>
        <w:t xml:space="preserve"> </w:t>
      </w:r>
      <w:proofErr w:type="spellStart"/>
      <w:r w:rsidR="00E130C1" w:rsidRPr="00B60541">
        <w:rPr>
          <w:lang w:val="en-GB"/>
        </w:rPr>
        <w:t>Kuzmanović’s</w:t>
      </w:r>
      <w:proofErr w:type="spellEnd"/>
      <w:r w:rsidR="00E130C1" w:rsidRPr="00B60541">
        <w:rPr>
          <w:lang w:val="en-GB"/>
        </w:rPr>
        <w:t xml:space="preserve"> sister called UNMIK Police by telephone to re</w:t>
      </w:r>
      <w:r w:rsidR="00B60541" w:rsidRPr="00B60541">
        <w:rPr>
          <w:lang w:val="en-GB"/>
        </w:rPr>
        <w:t>port the abduction and to say</w:t>
      </w:r>
      <w:r w:rsidR="00E130C1" w:rsidRPr="00B60541">
        <w:rPr>
          <w:lang w:val="en-GB"/>
        </w:rPr>
        <w:t xml:space="preserve"> that, according to information received, he was still alive. The SRSG states that “</w:t>
      </w:r>
      <w:r w:rsidR="00B60541" w:rsidRPr="00B60541">
        <w:rPr>
          <w:lang w:val="en-GB"/>
        </w:rPr>
        <w:t>[</w:t>
      </w:r>
      <w:r w:rsidR="00E130C1" w:rsidRPr="00B60541">
        <w:rPr>
          <w:lang w:val="en-GB"/>
        </w:rPr>
        <w:t>h</w:t>
      </w:r>
      <w:r w:rsidR="00B60541" w:rsidRPr="00B60541">
        <w:rPr>
          <w:lang w:val="en-GB"/>
        </w:rPr>
        <w:t>]</w:t>
      </w:r>
      <w:proofErr w:type="spellStart"/>
      <w:r w:rsidR="00E130C1" w:rsidRPr="00B60541">
        <w:rPr>
          <w:lang w:val="en-GB"/>
        </w:rPr>
        <w:t>owever</w:t>
      </w:r>
      <w:proofErr w:type="spellEnd"/>
      <w:r w:rsidR="00E130C1" w:rsidRPr="00B60541">
        <w:rPr>
          <w:lang w:val="en-GB"/>
        </w:rPr>
        <w:t xml:space="preserve">, neither of these reports from family members provided any leads or information for further investigation”. </w:t>
      </w:r>
    </w:p>
    <w:p w:rsidR="00E130C1" w:rsidRPr="00B60541" w:rsidRDefault="00E130C1" w:rsidP="00E130C1">
      <w:pPr>
        <w:pStyle w:val="ListParagraph"/>
      </w:pPr>
    </w:p>
    <w:p w:rsidR="00E130C1" w:rsidRPr="00B60541" w:rsidRDefault="001300D5" w:rsidP="004F45E5">
      <w:pPr>
        <w:numPr>
          <w:ilvl w:val="0"/>
          <w:numId w:val="2"/>
        </w:numPr>
        <w:tabs>
          <w:tab w:val="left" w:pos="709"/>
        </w:tabs>
        <w:suppressAutoHyphens/>
        <w:autoSpaceDE w:val="0"/>
        <w:jc w:val="both"/>
      </w:pPr>
      <w:r w:rsidRPr="00B60541">
        <w:t>The SRSG states that, “</w:t>
      </w:r>
      <w:r w:rsidR="00B60541" w:rsidRPr="00B60541">
        <w:t>[</w:t>
      </w:r>
      <w:r w:rsidRPr="00B60541">
        <w:t>d</w:t>
      </w:r>
      <w:r w:rsidR="00B60541" w:rsidRPr="00B60541">
        <w:t>]</w:t>
      </w:r>
      <w:proofErr w:type="spellStart"/>
      <w:r w:rsidRPr="00B60541">
        <w:t>espite</w:t>
      </w:r>
      <w:proofErr w:type="spellEnd"/>
      <w:r w:rsidRPr="00B60541">
        <w:t xml:space="preserve"> the difficulties mentioned above”</w:t>
      </w:r>
      <w:proofErr w:type="gramStart"/>
      <w:r w:rsidRPr="00B60541">
        <w:t>,</w:t>
      </w:r>
      <w:proofErr w:type="gramEnd"/>
      <w:r w:rsidRPr="00B60541">
        <w:t xml:space="preserve"> the mortal remains of </w:t>
      </w:r>
      <w:r w:rsidRPr="00B60541">
        <w:rPr>
          <w:lang w:val="en-GB"/>
        </w:rPr>
        <w:t xml:space="preserve">Mr </w:t>
      </w:r>
      <w:proofErr w:type="spellStart"/>
      <w:r w:rsidRPr="00B60541">
        <w:rPr>
          <w:lang w:val="en-GB"/>
        </w:rPr>
        <w:t>Ðorđe</w:t>
      </w:r>
      <w:proofErr w:type="spellEnd"/>
      <w:r w:rsidRPr="00B60541">
        <w:rPr>
          <w:lang w:val="en-GB"/>
        </w:rPr>
        <w:t xml:space="preserve"> </w:t>
      </w:r>
      <w:proofErr w:type="spellStart"/>
      <w:r w:rsidRPr="00B60541">
        <w:rPr>
          <w:lang w:val="en-GB"/>
        </w:rPr>
        <w:t>Kuzmanović</w:t>
      </w:r>
      <w:proofErr w:type="spellEnd"/>
      <w:r w:rsidRPr="00B60541">
        <w:rPr>
          <w:lang w:val="en-GB"/>
        </w:rPr>
        <w:t xml:space="preserve"> were discovered in 2002. An autopsy</w:t>
      </w:r>
      <w:r w:rsidR="00BA65B2" w:rsidRPr="00B60541">
        <w:rPr>
          <w:lang w:val="en-GB"/>
        </w:rPr>
        <w:t xml:space="preserve"> </w:t>
      </w:r>
      <w:r w:rsidRPr="00B60541">
        <w:rPr>
          <w:lang w:val="en-GB"/>
        </w:rPr>
        <w:t>c</w:t>
      </w:r>
      <w:r w:rsidR="00BA65B2" w:rsidRPr="00B60541">
        <w:rPr>
          <w:lang w:val="en-GB"/>
        </w:rPr>
        <w:t xml:space="preserve">onducted in December 2002 </w:t>
      </w:r>
      <w:r w:rsidRPr="00B60541">
        <w:rPr>
          <w:lang w:val="en-GB"/>
        </w:rPr>
        <w:t xml:space="preserve">established the cause of </w:t>
      </w:r>
      <w:r w:rsidR="00BA65B2" w:rsidRPr="00B60541">
        <w:rPr>
          <w:lang w:val="en-GB"/>
        </w:rPr>
        <w:t xml:space="preserve">his </w:t>
      </w:r>
      <w:r w:rsidRPr="00B60541">
        <w:rPr>
          <w:lang w:val="en-GB"/>
        </w:rPr>
        <w:t>death. The mortal remains</w:t>
      </w:r>
      <w:r w:rsidR="00BA65B2" w:rsidRPr="00B60541">
        <w:rPr>
          <w:lang w:val="en-GB"/>
        </w:rPr>
        <w:t xml:space="preserve"> of</w:t>
      </w:r>
      <w:r w:rsidRPr="00B60541">
        <w:rPr>
          <w:lang w:val="en-GB"/>
        </w:rPr>
        <w:t xml:space="preserve"> </w:t>
      </w:r>
      <w:r w:rsidR="00BA65B2" w:rsidRPr="00B60541">
        <w:rPr>
          <w:lang w:val="en-GB"/>
        </w:rPr>
        <w:t xml:space="preserve">Mr </w:t>
      </w:r>
      <w:proofErr w:type="spellStart"/>
      <w:r w:rsidR="00BA65B2" w:rsidRPr="00B60541">
        <w:rPr>
          <w:lang w:val="en-GB"/>
        </w:rPr>
        <w:t>Ðorđe</w:t>
      </w:r>
      <w:proofErr w:type="spellEnd"/>
      <w:r w:rsidR="00BA65B2" w:rsidRPr="00B60541">
        <w:rPr>
          <w:lang w:val="en-GB"/>
        </w:rPr>
        <w:t xml:space="preserve"> </w:t>
      </w:r>
      <w:proofErr w:type="spellStart"/>
      <w:r w:rsidR="00BA65B2" w:rsidRPr="00B60541">
        <w:rPr>
          <w:lang w:val="en-GB"/>
        </w:rPr>
        <w:t>Kuzmanović</w:t>
      </w:r>
      <w:proofErr w:type="spellEnd"/>
      <w:r w:rsidR="00BA65B2" w:rsidRPr="00B60541">
        <w:rPr>
          <w:lang w:val="en-GB"/>
        </w:rPr>
        <w:t xml:space="preserve"> </w:t>
      </w:r>
      <w:r w:rsidRPr="00B60541">
        <w:rPr>
          <w:lang w:val="en-GB"/>
        </w:rPr>
        <w:t xml:space="preserve">were subsequently identified through DNA testing and returned to the family on 23 May 2003. </w:t>
      </w:r>
      <w:r w:rsidR="00BA65B2" w:rsidRPr="00B60541">
        <w:rPr>
          <w:lang w:val="en-GB"/>
        </w:rPr>
        <w:t>For this reason</w:t>
      </w:r>
      <w:r w:rsidRPr="00B60541">
        <w:rPr>
          <w:lang w:val="en-GB"/>
        </w:rPr>
        <w:t xml:space="preserve">, </w:t>
      </w:r>
      <w:r w:rsidR="00BA65B2" w:rsidRPr="00B60541">
        <w:rPr>
          <w:lang w:val="en-GB"/>
        </w:rPr>
        <w:t xml:space="preserve">in the view of the SRSG, </w:t>
      </w:r>
      <w:r w:rsidRPr="00B60541">
        <w:rPr>
          <w:lang w:val="en-GB"/>
        </w:rPr>
        <w:t xml:space="preserve">the investigation aimed at establishing the fate of Mr </w:t>
      </w:r>
      <w:proofErr w:type="spellStart"/>
      <w:r w:rsidRPr="00B60541">
        <w:rPr>
          <w:lang w:val="en-GB"/>
        </w:rPr>
        <w:t>Ðorđe</w:t>
      </w:r>
      <w:proofErr w:type="spellEnd"/>
      <w:r w:rsidRPr="00B60541">
        <w:rPr>
          <w:lang w:val="en-GB"/>
        </w:rPr>
        <w:t xml:space="preserve"> </w:t>
      </w:r>
      <w:proofErr w:type="spellStart"/>
      <w:r w:rsidRPr="00B60541">
        <w:rPr>
          <w:lang w:val="en-GB"/>
        </w:rPr>
        <w:t>Kuzmanović</w:t>
      </w:r>
      <w:proofErr w:type="spellEnd"/>
      <w:r w:rsidR="00BA65B2" w:rsidRPr="00B60541">
        <w:rPr>
          <w:lang w:val="en-GB"/>
        </w:rPr>
        <w:t xml:space="preserve"> was conducted </w:t>
      </w:r>
      <w:r w:rsidRPr="00B60541">
        <w:rPr>
          <w:lang w:val="en-GB"/>
        </w:rPr>
        <w:t xml:space="preserve">within a reasonable time. </w:t>
      </w:r>
    </w:p>
    <w:p w:rsidR="001300D5" w:rsidRPr="00B60541" w:rsidRDefault="001300D5" w:rsidP="001300D5">
      <w:pPr>
        <w:pStyle w:val="ListParagraph"/>
      </w:pPr>
    </w:p>
    <w:p w:rsidR="006E50B2" w:rsidRPr="00B60541" w:rsidRDefault="001300D5" w:rsidP="004F45E5">
      <w:pPr>
        <w:numPr>
          <w:ilvl w:val="0"/>
          <w:numId w:val="2"/>
        </w:numPr>
        <w:tabs>
          <w:tab w:val="left" w:pos="709"/>
        </w:tabs>
        <w:suppressAutoHyphens/>
        <w:autoSpaceDE w:val="0"/>
        <w:jc w:val="both"/>
      </w:pPr>
      <w:r w:rsidRPr="00B60541">
        <w:t>With respect to the investigation aimed at identifying the perpetrators and bringing them to jus</w:t>
      </w:r>
      <w:r w:rsidR="00B60541" w:rsidRPr="00B60541">
        <w:t>tice, the SRSG states that “</w:t>
      </w:r>
      <w:r w:rsidRPr="00B60541">
        <w:t xml:space="preserve">lack of information in the instant case posed a real hurdle to the conduct of any investigation by UNMIK” and that “the lack of witnesses or suspects impeded the identification of possible perpetrators to be brought to justice”. </w:t>
      </w:r>
      <w:r w:rsidR="006E50B2" w:rsidRPr="00B60541">
        <w:t xml:space="preserve">The SRSG further argues </w:t>
      </w:r>
      <w:r w:rsidR="006E50B2" w:rsidRPr="00B60541">
        <w:lastRenderedPageBreak/>
        <w:t xml:space="preserve">that the exchange of e-mails of 22 July 2004 and the interoffice memorandum of 27 February 2005 included in the file, indicate that UNMIK Police continued its investigation on the killing of </w:t>
      </w:r>
      <w:r w:rsidR="006E50B2" w:rsidRPr="00B60541">
        <w:rPr>
          <w:lang w:val="en-GB"/>
        </w:rPr>
        <w:t xml:space="preserve">Mr </w:t>
      </w:r>
      <w:proofErr w:type="spellStart"/>
      <w:r w:rsidR="006E50B2" w:rsidRPr="00B60541">
        <w:rPr>
          <w:lang w:val="en-GB"/>
        </w:rPr>
        <w:t>Ðorđe</w:t>
      </w:r>
      <w:proofErr w:type="spellEnd"/>
      <w:r w:rsidR="006E50B2" w:rsidRPr="00B60541">
        <w:rPr>
          <w:lang w:val="en-GB"/>
        </w:rPr>
        <w:t xml:space="preserve"> </w:t>
      </w:r>
      <w:proofErr w:type="spellStart"/>
      <w:r w:rsidR="006E50B2" w:rsidRPr="00B60541">
        <w:rPr>
          <w:lang w:val="en-GB"/>
        </w:rPr>
        <w:t>Kuzmanović</w:t>
      </w:r>
      <w:proofErr w:type="spellEnd"/>
      <w:r w:rsidR="00B60541" w:rsidRPr="00B60541">
        <w:rPr>
          <w:lang w:val="en-GB"/>
        </w:rPr>
        <w:t>,</w:t>
      </w:r>
      <w:r w:rsidR="006E50B2" w:rsidRPr="00B60541">
        <w:rPr>
          <w:lang w:val="en-GB"/>
        </w:rPr>
        <w:t xml:space="preserve"> even after finding his mortal remains and handing them over to his family. </w:t>
      </w:r>
    </w:p>
    <w:p w:rsidR="006E50B2" w:rsidRPr="00B60541" w:rsidRDefault="006E50B2" w:rsidP="006E50B2">
      <w:pPr>
        <w:pStyle w:val="ListParagraph"/>
        <w:rPr>
          <w:lang w:val="en-GB"/>
        </w:rPr>
      </w:pPr>
    </w:p>
    <w:p w:rsidR="001300D5" w:rsidRPr="00B60541" w:rsidRDefault="006E50B2" w:rsidP="004F45E5">
      <w:pPr>
        <w:numPr>
          <w:ilvl w:val="0"/>
          <w:numId w:val="2"/>
        </w:numPr>
        <w:tabs>
          <w:tab w:val="left" w:pos="709"/>
        </w:tabs>
        <w:suppressAutoHyphens/>
        <w:autoSpaceDE w:val="0"/>
        <w:jc w:val="both"/>
      </w:pPr>
      <w:r w:rsidRPr="00B60541">
        <w:rPr>
          <w:lang w:val="en-GB"/>
        </w:rPr>
        <w:t>The SRSG concludes that, in view of the foregoing, “it is evident that UNMIK Police did conduct investigative efforts in accordance with the procedural requirements of Article 2 of ECHR</w:t>
      </w:r>
      <w:r w:rsidR="00606E42" w:rsidRPr="00B60541">
        <w:rPr>
          <w:lang w:val="en-GB"/>
        </w:rPr>
        <w:t>”. He states that, however, “</w:t>
      </w:r>
      <w:r w:rsidR="00B60541" w:rsidRPr="00B60541">
        <w:rPr>
          <w:lang w:val="en-GB"/>
        </w:rPr>
        <w:t>[</w:t>
      </w:r>
      <w:r w:rsidR="00606E42" w:rsidRPr="00B60541">
        <w:rPr>
          <w:lang w:val="en-GB"/>
        </w:rPr>
        <w:t>a</w:t>
      </w:r>
      <w:r w:rsidR="00B60541" w:rsidRPr="00B60541">
        <w:rPr>
          <w:lang w:val="en-GB"/>
        </w:rPr>
        <w:t>]</w:t>
      </w:r>
      <w:r w:rsidR="00606E42" w:rsidRPr="00B60541">
        <w:rPr>
          <w:lang w:val="en-GB"/>
        </w:rPr>
        <w:t xml:space="preserve">s there is the possibility that additional and conclusive information exists, beyond the documents mentioned above, UNMIK reserves its right to make further comments on the matter”. </w:t>
      </w:r>
    </w:p>
    <w:p w:rsidR="00606E42" w:rsidRPr="00B60541" w:rsidRDefault="00606E42" w:rsidP="00606E42">
      <w:pPr>
        <w:pStyle w:val="ListParagraph"/>
      </w:pPr>
    </w:p>
    <w:p w:rsidR="00606E42" w:rsidRPr="00B60541" w:rsidRDefault="00F06B06" w:rsidP="004F45E5">
      <w:pPr>
        <w:numPr>
          <w:ilvl w:val="0"/>
          <w:numId w:val="2"/>
        </w:numPr>
        <w:tabs>
          <w:tab w:val="left" w:pos="709"/>
        </w:tabs>
        <w:suppressAutoHyphens/>
        <w:autoSpaceDE w:val="0"/>
        <w:jc w:val="both"/>
      </w:pPr>
      <w:r w:rsidRPr="00B60541">
        <w:t xml:space="preserve">The SRSG finally adds that the allegations made by the complainant in her submission to the Panel dated 20 December 2011, shall not be “considered by the HRAP in its considerations of actions taken by UNMIK Police”, as they are “new allegations which had never been reported by UNMIK Police”. </w:t>
      </w:r>
    </w:p>
    <w:bookmarkEnd w:id="28"/>
    <w:bookmarkEnd w:id="29"/>
    <w:bookmarkEnd w:id="30"/>
    <w:bookmarkEnd w:id="31"/>
    <w:bookmarkEnd w:id="32"/>
    <w:bookmarkEnd w:id="33"/>
    <w:bookmarkEnd w:id="34"/>
    <w:p w:rsidR="003E3F85" w:rsidRPr="00B60541" w:rsidRDefault="003E3F85" w:rsidP="003E3F85">
      <w:pPr>
        <w:suppressAutoHyphens/>
        <w:autoSpaceDE w:val="0"/>
        <w:jc w:val="both"/>
        <w:rPr>
          <w:lang w:val="en-GB"/>
        </w:rPr>
      </w:pPr>
    </w:p>
    <w:p w:rsidR="003E3F85" w:rsidRPr="00B60541" w:rsidRDefault="003E3F85" w:rsidP="003E3F85">
      <w:pPr>
        <w:pStyle w:val="ListParagraph"/>
        <w:numPr>
          <w:ilvl w:val="1"/>
          <w:numId w:val="1"/>
        </w:numPr>
        <w:tabs>
          <w:tab w:val="clear" w:pos="360"/>
          <w:tab w:val="left" w:pos="357"/>
        </w:tabs>
        <w:autoSpaceDE w:val="0"/>
        <w:contextualSpacing/>
        <w:jc w:val="both"/>
        <w:rPr>
          <w:b/>
          <w:lang w:val="en-GB"/>
        </w:rPr>
      </w:pPr>
      <w:r w:rsidRPr="00B60541">
        <w:rPr>
          <w:b/>
          <w:lang w:val="en-GB"/>
        </w:rPr>
        <w:t xml:space="preserve">The </w:t>
      </w:r>
      <w:r w:rsidRPr="00B60541">
        <w:rPr>
          <w:b/>
          <w:bCs/>
          <w:lang w:val="en-GB"/>
        </w:rPr>
        <w:t>Panel’s</w:t>
      </w:r>
      <w:r w:rsidRPr="00B60541">
        <w:rPr>
          <w:b/>
          <w:lang w:val="en-GB"/>
        </w:rPr>
        <w:t xml:space="preserve"> assessment</w:t>
      </w:r>
    </w:p>
    <w:p w:rsidR="003E3F85" w:rsidRPr="00B60541" w:rsidRDefault="003E3F85" w:rsidP="003E3F85">
      <w:pPr>
        <w:jc w:val="both"/>
        <w:rPr>
          <w:lang w:val="en-GB"/>
        </w:rPr>
      </w:pPr>
    </w:p>
    <w:p w:rsidR="003E3F85" w:rsidRPr="00B60541" w:rsidRDefault="003E3F85" w:rsidP="003E3F85">
      <w:pPr>
        <w:numPr>
          <w:ilvl w:val="0"/>
          <w:numId w:val="2"/>
        </w:numPr>
        <w:tabs>
          <w:tab w:val="left" w:pos="709"/>
        </w:tabs>
        <w:suppressAutoHyphens/>
        <w:autoSpaceDE w:val="0"/>
        <w:jc w:val="both"/>
        <w:rPr>
          <w:lang w:val="en-GB"/>
        </w:rPr>
      </w:pPr>
      <w:r w:rsidRPr="00B60541">
        <w:rPr>
          <w:lang w:val="en-GB"/>
        </w:rPr>
        <w:t>The</w:t>
      </w:r>
      <w:r w:rsidRPr="00B60541">
        <w:rPr>
          <w:bCs/>
          <w:lang w:val="en-GB"/>
        </w:rPr>
        <w:t xml:space="preserve"> Panel considers that the complainant invokes a violation of the procedural obligation </w:t>
      </w:r>
      <w:r w:rsidRPr="00B60541">
        <w:rPr>
          <w:lang w:val="en-GB"/>
        </w:rPr>
        <w:t>stemming</w:t>
      </w:r>
      <w:r w:rsidRPr="00B60541">
        <w:rPr>
          <w:bCs/>
          <w:lang w:val="en-GB"/>
        </w:rPr>
        <w:t xml:space="preserve"> from the right to life, guaranteed by Article 2 of the European Convention on Human Rights (ECHR) in that UNMIK did not conduct an effectiv</w:t>
      </w:r>
      <w:r w:rsidR="00622236" w:rsidRPr="00B60541">
        <w:rPr>
          <w:bCs/>
          <w:lang w:val="en-GB"/>
        </w:rPr>
        <w:t xml:space="preserve">e investigation into the </w:t>
      </w:r>
      <w:r w:rsidR="00954A3E" w:rsidRPr="00B60541">
        <w:rPr>
          <w:bCs/>
          <w:lang w:val="en-GB"/>
        </w:rPr>
        <w:t>abduction</w:t>
      </w:r>
      <w:r w:rsidR="00B60541" w:rsidRPr="00B60541">
        <w:rPr>
          <w:bCs/>
          <w:lang w:val="en-GB"/>
        </w:rPr>
        <w:t xml:space="preserve"> and killing</w:t>
      </w:r>
      <w:r w:rsidRPr="00B60541">
        <w:rPr>
          <w:bCs/>
          <w:lang w:val="en-GB"/>
        </w:rPr>
        <w:t xml:space="preserve"> of </w:t>
      </w:r>
      <w:r w:rsidR="00DB6266" w:rsidRPr="00B60541">
        <w:rPr>
          <w:lang w:val="en-GB"/>
        </w:rPr>
        <w:t xml:space="preserve">Mr </w:t>
      </w:r>
      <w:proofErr w:type="spellStart"/>
      <w:r w:rsidR="00DB6266" w:rsidRPr="00B60541">
        <w:rPr>
          <w:lang w:val="en-GB"/>
        </w:rPr>
        <w:t>Ðorđe</w:t>
      </w:r>
      <w:proofErr w:type="spellEnd"/>
      <w:r w:rsidR="00DB6266" w:rsidRPr="00B60541">
        <w:rPr>
          <w:lang w:val="en-GB"/>
        </w:rPr>
        <w:t xml:space="preserve"> </w:t>
      </w:r>
      <w:proofErr w:type="spellStart"/>
      <w:r w:rsidR="00DB6266" w:rsidRPr="00B60541">
        <w:rPr>
          <w:lang w:val="en-GB"/>
        </w:rPr>
        <w:t>Kuzmanović</w:t>
      </w:r>
      <w:proofErr w:type="spellEnd"/>
      <w:r w:rsidRPr="00B60541">
        <w:rPr>
          <w:lang w:val="en-GB"/>
        </w:rPr>
        <w:t>.</w:t>
      </w:r>
    </w:p>
    <w:p w:rsidR="003E3F85" w:rsidRPr="00393E7A" w:rsidRDefault="003E3F85" w:rsidP="003E3F85">
      <w:pPr>
        <w:pStyle w:val="ListParagraph"/>
        <w:autoSpaceDE w:val="0"/>
        <w:ind w:left="360"/>
        <w:jc w:val="both"/>
        <w:rPr>
          <w:lang w:val="en-GB"/>
        </w:rPr>
      </w:pPr>
    </w:p>
    <w:p w:rsidR="003E3F85" w:rsidRPr="00393E7A" w:rsidRDefault="003E3F85" w:rsidP="003E3F85">
      <w:pPr>
        <w:pStyle w:val="ListParagraph"/>
        <w:numPr>
          <w:ilvl w:val="0"/>
          <w:numId w:val="7"/>
        </w:numPr>
        <w:contextualSpacing/>
        <w:jc w:val="both"/>
        <w:rPr>
          <w:i/>
          <w:lang w:val="en-GB"/>
        </w:rPr>
      </w:pPr>
      <w:r w:rsidRPr="00393E7A">
        <w:rPr>
          <w:i/>
          <w:lang w:val="en-GB"/>
        </w:rPr>
        <w:t>Submission of relevant files</w:t>
      </w:r>
    </w:p>
    <w:p w:rsidR="003E3F85" w:rsidRPr="00393E7A" w:rsidRDefault="003E3F85" w:rsidP="003E3F85">
      <w:pPr>
        <w:pStyle w:val="ListParagraph"/>
        <w:autoSpaceDE w:val="0"/>
        <w:ind w:left="450"/>
        <w:jc w:val="both"/>
      </w:pPr>
      <w:bookmarkStart w:id="35" w:name="_Ref354590617"/>
    </w:p>
    <w:p w:rsidR="003E3F85" w:rsidRPr="00393E7A" w:rsidRDefault="003E3F85" w:rsidP="003E3F85">
      <w:pPr>
        <w:numPr>
          <w:ilvl w:val="0"/>
          <w:numId w:val="2"/>
        </w:numPr>
        <w:tabs>
          <w:tab w:val="left" w:pos="709"/>
        </w:tabs>
        <w:suppressAutoHyphens/>
        <w:autoSpaceDE w:val="0"/>
        <w:jc w:val="both"/>
      </w:pPr>
      <w:r w:rsidRPr="00393E7A">
        <w:rPr>
          <w:lang w:val="en-GB"/>
        </w:rPr>
        <w:t xml:space="preserve">At the Panel’s request, on </w:t>
      </w:r>
      <w:r w:rsidR="00385EAF" w:rsidRPr="00393E7A">
        <w:rPr>
          <w:lang w:val="en-GB"/>
        </w:rPr>
        <w:t>18</w:t>
      </w:r>
      <w:r w:rsidRPr="00393E7A">
        <w:rPr>
          <w:lang w:val="en-GB"/>
        </w:rPr>
        <w:t xml:space="preserve"> </w:t>
      </w:r>
      <w:r w:rsidR="00385EAF" w:rsidRPr="00393E7A">
        <w:rPr>
          <w:lang w:val="en-GB"/>
        </w:rPr>
        <w:t>April</w:t>
      </w:r>
      <w:r w:rsidR="002948A6" w:rsidRPr="00393E7A">
        <w:rPr>
          <w:lang w:val="en-GB"/>
        </w:rPr>
        <w:t xml:space="preserve"> </w:t>
      </w:r>
      <w:r w:rsidR="00385EAF" w:rsidRPr="00393E7A">
        <w:rPr>
          <w:lang w:val="en-GB"/>
        </w:rPr>
        <w:t>2012</w:t>
      </w:r>
      <w:r w:rsidRPr="00393E7A">
        <w:rPr>
          <w:lang w:val="en-GB"/>
        </w:rPr>
        <w:t xml:space="preserve">, the </w:t>
      </w:r>
      <w:r w:rsidRPr="00393E7A">
        <w:rPr>
          <w:bCs/>
          <w:lang w:val="en-GB"/>
        </w:rPr>
        <w:t>SRSG</w:t>
      </w:r>
      <w:r w:rsidRPr="00393E7A">
        <w:rPr>
          <w:lang w:val="en-GB"/>
        </w:rPr>
        <w:t xml:space="preserve"> provided copies of the documents related </w:t>
      </w:r>
      <w:r w:rsidRPr="00B60541">
        <w:rPr>
          <w:lang w:val="en-GB"/>
        </w:rPr>
        <w:t xml:space="preserve">to this investigation, which UNMIK was able to recover. </w:t>
      </w:r>
      <w:r w:rsidRPr="00B60541">
        <w:t xml:space="preserve">The </w:t>
      </w:r>
      <w:r w:rsidRPr="00B60541">
        <w:rPr>
          <w:lang w:val="en-GB"/>
        </w:rPr>
        <w:t>SRSG</w:t>
      </w:r>
      <w:r w:rsidR="00DB6266" w:rsidRPr="00B60541">
        <w:t xml:space="preserve"> also suggested</w:t>
      </w:r>
      <w:r w:rsidRPr="00B60541">
        <w:t xml:space="preserve"> that there is a possibility more information, not contained in the presented documents, exists, but provided no further details</w:t>
      </w:r>
      <w:r w:rsidR="00DB6266" w:rsidRPr="00B60541">
        <w:t xml:space="preserve"> (see § </w:t>
      </w:r>
      <w:r w:rsidR="0080746A" w:rsidRPr="00B60541">
        <w:t>60</w:t>
      </w:r>
      <w:r w:rsidR="00DB6266" w:rsidRPr="00B60541">
        <w:t xml:space="preserve"> above)</w:t>
      </w:r>
      <w:r w:rsidRPr="00B60541">
        <w:t>.</w:t>
      </w:r>
      <w:r w:rsidRPr="00B60541">
        <w:rPr>
          <w:lang w:val="en-GB"/>
        </w:rPr>
        <w:t xml:space="preserve"> O</w:t>
      </w:r>
      <w:r w:rsidRPr="00B60541">
        <w:t xml:space="preserve">n </w:t>
      </w:r>
      <w:r w:rsidR="0080746A" w:rsidRPr="00B60541">
        <w:t>13</w:t>
      </w:r>
      <w:r w:rsidR="00DB6266" w:rsidRPr="00B60541">
        <w:t xml:space="preserve"> January 2015</w:t>
      </w:r>
      <w:r w:rsidR="00B77C87" w:rsidRPr="00B60541">
        <w:t xml:space="preserve">, </w:t>
      </w:r>
      <w:r w:rsidRPr="00B60541">
        <w:t xml:space="preserve">UNMIK confirmed to the Panel that no more files have been located, thus the disclosure may be considered complete (see § </w:t>
      </w:r>
      <w:r w:rsidR="00D746BC" w:rsidRPr="00B60541">
        <w:fldChar w:fldCharType="begin"/>
      </w:r>
      <w:r w:rsidR="00D746BC" w:rsidRPr="00B60541">
        <w:instrText xml:space="preserve"> REF _Ref373944367 \r \h  \* MERGEFORMAT </w:instrText>
      </w:r>
      <w:r w:rsidR="00D746BC" w:rsidRPr="00B60541">
        <w:fldChar w:fldCharType="separate"/>
      </w:r>
      <w:r w:rsidR="002F62D4">
        <w:t>10</w:t>
      </w:r>
      <w:r w:rsidR="00D746BC" w:rsidRPr="00B60541">
        <w:fldChar w:fldCharType="end"/>
      </w:r>
      <w:r w:rsidRPr="00B60541">
        <w:t xml:space="preserve"> above).</w:t>
      </w:r>
      <w:bookmarkEnd w:id="35"/>
    </w:p>
    <w:p w:rsidR="003E3F85" w:rsidRPr="00393E7A" w:rsidRDefault="003E3F85" w:rsidP="003E3F85">
      <w:pPr>
        <w:suppressAutoHyphens/>
        <w:ind w:left="360"/>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393E7A">
        <w:rPr>
          <w:lang w:val="en-GB"/>
        </w:rPr>
        <w:t>provide</w:t>
      </w:r>
      <w:proofErr w:type="gramEnd"/>
      <w:r w:rsidRPr="00393E7A">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393E7A">
        <w:rPr>
          <w:i/>
          <w:lang w:val="en-GB"/>
        </w:rPr>
        <w:t>Çelikbilek v. Turkey</w:t>
      </w:r>
      <w:r w:rsidRPr="00393E7A">
        <w:rPr>
          <w:lang w:val="en-GB"/>
        </w:rPr>
        <w:t xml:space="preserve">, </w:t>
      </w:r>
      <w:r w:rsidRPr="00393E7A">
        <w:rPr>
          <w:lang w:val="en-GB" w:eastAsia="nl-BE"/>
        </w:rPr>
        <w:t>no. 27693/95, judgment of 31 May 2005</w:t>
      </w:r>
      <w:r w:rsidRPr="00393E7A">
        <w:rPr>
          <w:i/>
          <w:iCs/>
          <w:lang w:val="en-GB" w:eastAsia="nl-BE"/>
        </w:rPr>
        <w:t>,</w:t>
      </w:r>
      <w:r w:rsidRPr="00393E7A">
        <w:rPr>
          <w:iCs/>
          <w:lang w:val="en-GB" w:eastAsia="nl-BE"/>
        </w:rPr>
        <w:t xml:space="preserve"> § 56).</w:t>
      </w:r>
      <w:r w:rsidRPr="00393E7A">
        <w:rPr>
          <w:rFonts w:ascii="Helv" w:hAnsi="Helv" w:cs="Helv"/>
          <w:sz w:val="20"/>
          <w:szCs w:val="20"/>
          <w:lang w:val="en-GB" w:eastAsia="nl-BE"/>
        </w:rPr>
        <w:t xml:space="preserve"> </w:t>
      </w:r>
    </w:p>
    <w:p w:rsidR="003E3F85" w:rsidRPr="00393E7A" w:rsidRDefault="003E3F85" w:rsidP="003E3F85">
      <w:pPr>
        <w:pStyle w:val="ListParagraph"/>
        <w:rPr>
          <w:lang w:val="en-GB"/>
        </w:rPr>
      </w:pPr>
    </w:p>
    <w:p w:rsidR="00F274A2" w:rsidRPr="00F274A2" w:rsidRDefault="003E3F85" w:rsidP="00F274A2">
      <w:pPr>
        <w:numPr>
          <w:ilvl w:val="0"/>
          <w:numId w:val="2"/>
        </w:numPr>
        <w:tabs>
          <w:tab w:val="left" w:pos="709"/>
        </w:tabs>
        <w:suppressAutoHyphens/>
        <w:autoSpaceDE w:val="0"/>
        <w:jc w:val="both"/>
        <w:rPr>
          <w:lang w:val="en-GB"/>
        </w:rPr>
      </w:pPr>
      <w:r w:rsidRPr="00393E7A">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393E7A">
        <w:rPr>
          <w:i/>
          <w:lang w:val="en-GB"/>
        </w:rPr>
        <w:t>per se</w:t>
      </w:r>
      <w:r w:rsidRPr="00393E7A">
        <w:rPr>
          <w:lang w:val="en-GB"/>
        </w:rPr>
        <w:t xml:space="preserve"> issues under Article 2</w:t>
      </w:r>
      <w:r w:rsidR="00F274A2" w:rsidRPr="00F274A2">
        <w:t xml:space="preserve"> </w:t>
      </w:r>
      <w:r w:rsidR="00F274A2" w:rsidRPr="00F274A2">
        <w:rPr>
          <w:lang w:val="en-GB"/>
        </w:rPr>
        <w:t xml:space="preserve">(see HRAP, </w:t>
      </w:r>
      <w:r w:rsidR="00F274A2" w:rsidRPr="00F274A2">
        <w:rPr>
          <w:i/>
          <w:lang w:val="en-GB"/>
        </w:rPr>
        <w:t>Bulatović</w:t>
      </w:r>
      <w:r w:rsidR="00F274A2" w:rsidRPr="00F274A2">
        <w:rPr>
          <w:lang w:val="en-GB"/>
        </w:rPr>
        <w:t>, no. 166/09, opinion of 13 November 2014, § 62).</w:t>
      </w:r>
    </w:p>
    <w:p w:rsidR="003E3F85" w:rsidRPr="00F274A2" w:rsidRDefault="003E3F85" w:rsidP="00F274A2">
      <w:pPr>
        <w:tabs>
          <w:tab w:val="left" w:pos="709"/>
        </w:tabs>
        <w:suppressAutoHyphens/>
        <w:autoSpaceDE w:val="0"/>
        <w:jc w:val="both"/>
        <w:rPr>
          <w:lang w:val="en-GB"/>
        </w:rPr>
      </w:pPr>
    </w:p>
    <w:p w:rsidR="003E3F85" w:rsidRPr="00393E7A" w:rsidRDefault="003E3F85" w:rsidP="003E3F85">
      <w:pPr>
        <w:pStyle w:val="ListParagraph"/>
        <w:rPr>
          <w:b/>
          <w:lang w:val="en-GB"/>
        </w:rPr>
      </w:pPr>
    </w:p>
    <w:p w:rsidR="003E3F85" w:rsidRPr="00393E7A" w:rsidRDefault="003E3F85" w:rsidP="003E3F85">
      <w:pPr>
        <w:numPr>
          <w:ilvl w:val="0"/>
          <w:numId w:val="2"/>
        </w:numPr>
        <w:tabs>
          <w:tab w:val="left" w:pos="709"/>
        </w:tabs>
        <w:suppressAutoHyphens/>
        <w:autoSpaceDE w:val="0"/>
        <w:jc w:val="both"/>
        <w:rPr>
          <w:b/>
          <w:lang w:val="en-GB"/>
        </w:rPr>
      </w:pPr>
      <w:bookmarkStart w:id="36" w:name="_Ref373945461"/>
      <w:r w:rsidRPr="00393E7A">
        <w:t xml:space="preserve">The </w:t>
      </w:r>
      <w:r w:rsidRPr="00393E7A">
        <w:rPr>
          <w:lang w:val="en-GB"/>
        </w:rPr>
        <w:t>Panel has no reason to doubt that UNMIK undertook all efforts in order to obtain the relevant</w:t>
      </w:r>
      <w:r w:rsidRPr="00393E7A">
        <w:t xml:space="preserve"> investigative files. However, the Panel notes that UNMIK has not provided any explanation as to why the documentation may be incomplete, nor with respect to which parts.</w:t>
      </w:r>
      <w:bookmarkEnd w:id="36"/>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The Panel itself is not in the position to verify the completeness of the investigative files received.</w:t>
      </w:r>
      <w:r w:rsidR="002E1F96" w:rsidRPr="00393E7A">
        <w:rPr>
          <w:lang w:val="en-GB"/>
        </w:rPr>
        <w:t xml:space="preserve"> </w:t>
      </w:r>
      <w:r w:rsidRPr="00393E7A">
        <w:rPr>
          <w:lang w:val="en-GB"/>
        </w:rPr>
        <w:t xml:space="preserve">The Panel will therefore assess the merits of the complaint on the basis of documents made available (in this sense, see ECtHR, </w:t>
      </w:r>
      <w:r w:rsidRPr="00393E7A">
        <w:rPr>
          <w:i/>
          <w:lang w:val="en-GB"/>
        </w:rPr>
        <w:t>Tsechoyev v. Russia</w:t>
      </w:r>
      <w:r w:rsidRPr="00393E7A">
        <w:rPr>
          <w:lang w:val="en-GB"/>
        </w:rPr>
        <w:t>, no. 39358/05, judgment of</w:t>
      </w:r>
      <w:r w:rsidRPr="00393E7A">
        <w:rPr>
          <w:i/>
          <w:lang w:val="en-GB"/>
        </w:rPr>
        <w:t xml:space="preserve"> </w:t>
      </w:r>
      <w:r w:rsidRPr="00393E7A">
        <w:rPr>
          <w:lang w:val="en-GB"/>
        </w:rPr>
        <w:t xml:space="preserve">15 March 2011, § 146).  </w:t>
      </w:r>
      <w:bookmarkStart w:id="37" w:name="_Ref366241114"/>
    </w:p>
    <w:p w:rsidR="003E3F85" w:rsidRPr="00393E7A" w:rsidRDefault="003E3F85" w:rsidP="003E3F85">
      <w:pPr>
        <w:pStyle w:val="ListParagraph"/>
        <w:rPr>
          <w:lang w:val="en-GB"/>
        </w:rPr>
      </w:pPr>
    </w:p>
    <w:p w:rsidR="003E3F85" w:rsidRPr="00393E7A" w:rsidRDefault="003E3F85" w:rsidP="003E3F85">
      <w:pPr>
        <w:pStyle w:val="ListParagraph"/>
        <w:numPr>
          <w:ilvl w:val="0"/>
          <w:numId w:val="7"/>
        </w:numPr>
        <w:contextualSpacing/>
        <w:jc w:val="both"/>
        <w:rPr>
          <w:i/>
          <w:lang w:val="en-GB"/>
        </w:rPr>
      </w:pPr>
      <w:r w:rsidRPr="00393E7A">
        <w:rPr>
          <w:i/>
          <w:lang w:val="en-GB" w:eastAsia="en-US"/>
        </w:rPr>
        <w:t>General</w:t>
      </w:r>
      <w:r w:rsidRPr="00393E7A">
        <w:rPr>
          <w:i/>
          <w:lang w:val="en-GB"/>
        </w:rPr>
        <w:t xml:space="preserve"> principles concerning the obligation to conduct an effective investigation under Article 2</w:t>
      </w:r>
    </w:p>
    <w:p w:rsidR="004F45E5" w:rsidRPr="00393E7A" w:rsidRDefault="004F45E5" w:rsidP="004F45E5">
      <w:pPr>
        <w:jc w:val="both"/>
        <w:rPr>
          <w:lang w:val="en-GB"/>
        </w:rPr>
      </w:pPr>
    </w:p>
    <w:p w:rsidR="003E3F85" w:rsidRPr="00393E7A" w:rsidRDefault="00273478" w:rsidP="003E3F85">
      <w:pPr>
        <w:numPr>
          <w:ilvl w:val="0"/>
          <w:numId w:val="2"/>
        </w:numPr>
        <w:tabs>
          <w:tab w:val="left" w:pos="709"/>
        </w:tabs>
        <w:suppressAutoHyphens/>
        <w:autoSpaceDE w:val="0"/>
        <w:jc w:val="both"/>
        <w:rPr>
          <w:lang w:val="en-GB"/>
        </w:rPr>
      </w:pPr>
      <w:r w:rsidRPr="00393E7A">
        <w:rPr>
          <w:lang w:val="en-GB"/>
        </w:rPr>
        <w:t>T</w:t>
      </w:r>
      <w:r w:rsidR="003E3F85" w:rsidRPr="00393E7A">
        <w:rPr>
          <w:lang w:val="en-GB"/>
        </w:rPr>
        <w:t xml:space="preserve">he Panel notes that the positive obligation to investigate has been stated by the </w:t>
      </w:r>
      <w:r w:rsidR="00423598" w:rsidRPr="00393E7A">
        <w:rPr>
          <w:lang w:val="en-GB"/>
        </w:rPr>
        <w:t>HRC</w:t>
      </w:r>
      <w:r w:rsidR="003E3F85" w:rsidRPr="00393E7A">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393E7A">
        <w:rPr>
          <w:i/>
          <w:lang w:val="en-GB"/>
        </w:rPr>
        <w:t>Mohamed El Awani, v. Libyan Arab Jamahiriya</w:t>
      </w:r>
      <w:r w:rsidR="003E3F85" w:rsidRPr="00393E7A">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393E7A">
        <w:t xml:space="preserve">UN Document </w:t>
      </w:r>
      <w:r w:rsidR="003E3F85" w:rsidRPr="00393E7A">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7"/>
      <w:r w:rsidR="003E3F85" w:rsidRPr="00393E7A">
        <w:rPr>
          <w:lang w:val="en-GB"/>
        </w:rPr>
        <w:t xml:space="preserve">   </w:t>
      </w:r>
      <w:bookmarkStart w:id="38" w:name="_Ref347561805"/>
    </w:p>
    <w:p w:rsidR="003E3F85" w:rsidRPr="00393E7A" w:rsidRDefault="003E3F85" w:rsidP="003E3F85">
      <w:pPr>
        <w:pStyle w:val="ListParagraph"/>
        <w:suppressAutoHyphens w:val="0"/>
        <w:ind w:left="360"/>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39" w:name="_Ref366239860"/>
      <w:r w:rsidRPr="00393E7A">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393E7A">
        <w:rPr>
          <w:i/>
          <w:lang w:val="en-GB"/>
        </w:rPr>
        <w:t>mutatis mutandis</w:t>
      </w:r>
      <w:r w:rsidRPr="00393E7A">
        <w:rPr>
          <w:lang w:val="en-GB"/>
        </w:rPr>
        <w:t xml:space="preserve">, ECtHR, </w:t>
      </w:r>
      <w:r w:rsidRPr="00393E7A">
        <w:rPr>
          <w:i/>
          <w:lang w:val="en-GB"/>
        </w:rPr>
        <w:t>McCann and Others v. the United Kingdom</w:t>
      </w:r>
      <w:r w:rsidRPr="00393E7A">
        <w:rPr>
          <w:lang w:val="en-GB"/>
        </w:rPr>
        <w:t xml:space="preserve">, judgment of 27 September 1995, § 161, Series A no. 324; and ECtHR, </w:t>
      </w:r>
      <w:r w:rsidRPr="00393E7A">
        <w:rPr>
          <w:i/>
          <w:lang w:val="en-GB"/>
        </w:rPr>
        <w:t>Kaya v. Turkey</w:t>
      </w:r>
      <w:r w:rsidRPr="00393E7A">
        <w:rPr>
          <w:lang w:val="en-GB"/>
        </w:rPr>
        <w:t xml:space="preserve">, judgment of 19 February 1998, § 86, Reports 1998-I; see also ECtHR, </w:t>
      </w:r>
      <w:r w:rsidRPr="00393E7A">
        <w:rPr>
          <w:i/>
          <w:lang w:val="en-GB"/>
        </w:rPr>
        <w:t>Jasinskis v. Latvia</w:t>
      </w:r>
      <w:r w:rsidRPr="00393E7A">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393E7A">
        <w:rPr>
          <w:i/>
          <w:lang w:val="en-GB"/>
        </w:rPr>
        <w:t>Kolevi v. Bulgaria</w:t>
      </w:r>
      <w:r w:rsidRPr="00393E7A">
        <w:rPr>
          <w:lang w:val="en-GB"/>
        </w:rPr>
        <w:t>, no. 1108/02, judgment of 5 November 2009, § 191).</w:t>
      </w:r>
      <w:bookmarkEnd w:id="38"/>
      <w:bookmarkEnd w:id="39"/>
    </w:p>
    <w:p w:rsidR="003E3F85" w:rsidRPr="00393E7A" w:rsidRDefault="003E3F85" w:rsidP="003E3F85">
      <w:pPr>
        <w:pStyle w:val="ListParagraph"/>
        <w:tabs>
          <w:tab w:val="num" w:pos="567"/>
        </w:tabs>
        <w:suppressAutoHyphens w:val="0"/>
        <w:ind w:left="567" w:hanging="425"/>
        <w:contextualSpacing/>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40" w:name="_Ref401245061"/>
      <w:r w:rsidRPr="00393E7A">
        <w:rPr>
          <w:lang w:val="en-GB"/>
        </w:rPr>
        <w:lastRenderedPageBreak/>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393E7A">
        <w:rPr>
          <w:i/>
          <w:lang w:val="en-GB"/>
        </w:rPr>
        <w:t>Varnava and Others v. Turkey</w:t>
      </w:r>
      <w:r w:rsidRPr="00393E7A">
        <w:rPr>
          <w:lang w:val="en-GB"/>
        </w:rPr>
        <w:t xml:space="preserve">, cited in § </w:t>
      </w:r>
      <w:r w:rsidR="00D746BC">
        <w:fldChar w:fldCharType="begin"/>
      </w:r>
      <w:r w:rsidR="00D746BC">
        <w:instrText xml:space="preserve"> REF _Ref346123885 \r \h  \* MERGEFORMAT </w:instrText>
      </w:r>
      <w:r w:rsidR="00D746BC">
        <w:fldChar w:fldCharType="separate"/>
      </w:r>
      <w:r w:rsidR="002F62D4" w:rsidRPr="002F62D4">
        <w:rPr>
          <w:lang w:val="en-GB"/>
        </w:rPr>
        <w:t>44</w:t>
      </w:r>
      <w:r w:rsidR="00D746BC">
        <w:fldChar w:fldCharType="end"/>
      </w:r>
      <w:r w:rsidRPr="00393E7A">
        <w:rPr>
          <w:lang w:val="en-GB"/>
        </w:rPr>
        <w:t xml:space="preserve"> above, at § 136</w:t>
      </w:r>
      <w:r w:rsidR="00423598" w:rsidRPr="00393E7A">
        <w:rPr>
          <w:lang w:val="en-GB"/>
        </w:rPr>
        <w:t>,</w:t>
      </w:r>
      <w:r w:rsidR="00423598" w:rsidRPr="00393E7A">
        <w:rPr>
          <w:i/>
          <w:iCs/>
          <w:lang w:val="en-GB"/>
        </w:rPr>
        <w:t xml:space="preserve"> </w:t>
      </w:r>
      <w:r w:rsidR="00423598" w:rsidRPr="00393E7A">
        <w:rPr>
          <w:lang w:val="en-GB"/>
        </w:rPr>
        <w:t xml:space="preserve">ECtHR [GC], </w:t>
      </w:r>
      <w:r w:rsidR="00423598" w:rsidRPr="00393E7A">
        <w:rPr>
          <w:i/>
          <w:iCs/>
          <w:lang w:val="en-GB"/>
        </w:rPr>
        <w:t>Mocanu and Others v. Romania</w:t>
      </w:r>
      <w:r w:rsidR="00423598" w:rsidRPr="00393E7A">
        <w:rPr>
          <w:lang w:val="en-GB"/>
        </w:rPr>
        <w:t>, nos 10865/09, 45886/07 and 32431/08, judgment of 17 September 2014, § 317).</w:t>
      </w:r>
      <w:bookmarkEnd w:id="40"/>
    </w:p>
    <w:p w:rsidR="003E3F85" w:rsidRPr="00393E7A" w:rsidRDefault="003E3F85" w:rsidP="003E3F85">
      <w:pPr>
        <w:pStyle w:val="ListParagraph"/>
        <w:tabs>
          <w:tab w:val="num" w:pos="567"/>
        </w:tabs>
        <w:suppressAutoHyphens w:val="0"/>
        <w:ind w:left="567" w:hanging="425"/>
        <w:contextualSpacing/>
        <w:jc w:val="both"/>
        <w:rPr>
          <w:lang w:val="en-GB"/>
        </w:rPr>
      </w:pPr>
    </w:p>
    <w:p w:rsidR="003E3F85" w:rsidRPr="00393E7A" w:rsidRDefault="003E3F85" w:rsidP="00423598">
      <w:pPr>
        <w:pStyle w:val="ListParagraph"/>
        <w:numPr>
          <w:ilvl w:val="0"/>
          <w:numId w:val="2"/>
        </w:numPr>
        <w:jc w:val="both"/>
        <w:rPr>
          <w:lang w:val="en-GB" w:eastAsia="en-US"/>
        </w:rPr>
      </w:pPr>
      <w:bookmarkStart w:id="41" w:name="_Ref366240125"/>
      <w:r w:rsidRPr="00393E7A">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393E7A">
        <w:rPr>
          <w:i/>
          <w:lang w:val="en-GB"/>
        </w:rPr>
        <w:t>Ahmet Özkan and Others v. Turkey</w:t>
      </w:r>
      <w:r w:rsidRPr="00393E7A">
        <w:rPr>
          <w:lang w:val="en-GB"/>
        </w:rPr>
        <w:t xml:space="preserve">, no. 21689/93, judgment of 6 April 2004, § 310, see also ECtHR, </w:t>
      </w:r>
      <w:r w:rsidRPr="00393E7A">
        <w:rPr>
          <w:i/>
          <w:lang w:val="en-GB"/>
        </w:rPr>
        <w:t>Isayeva v. Russia</w:t>
      </w:r>
      <w:r w:rsidRPr="00393E7A">
        <w:rPr>
          <w:lang w:val="en-GB"/>
        </w:rPr>
        <w:t>, no. 57950/00, judg</w:t>
      </w:r>
      <w:r w:rsidR="00423598" w:rsidRPr="00393E7A">
        <w:rPr>
          <w:lang w:val="en-GB"/>
        </w:rPr>
        <w:t>ment of 24 February 2005, § 210,</w:t>
      </w:r>
      <w:r w:rsidR="00423598" w:rsidRPr="00393E7A">
        <w:rPr>
          <w:lang w:val="en-GB" w:eastAsia="en-US"/>
        </w:rPr>
        <w:t xml:space="preserve"> ECtHR [GC], </w:t>
      </w:r>
      <w:r w:rsidR="00423598" w:rsidRPr="00393E7A">
        <w:rPr>
          <w:i/>
          <w:lang w:val="en-GB" w:eastAsia="en-US"/>
        </w:rPr>
        <w:t>Mocanu and Others v. Romania</w:t>
      </w:r>
      <w:r w:rsidR="00423598" w:rsidRPr="00393E7A">
        <w:rPr>
          <w:lang w:val="en-GB" w:eastAsia="en-US"/>
        </w:rPr>
        <w:t>, cited above, § 321).</w:t>
      </w:r>
      <w:bookmarkStart w:id="42" w:name="_Ref346724174"/>
      <w:bookmarkEnd w:id="41"/>
    </w:p>
    <w:p w:rsidR="003E3F85" w:rsidRPr="00393E7A" w:rsidRDefault="003E3F85" w:rsidP="003E3F85">
      <w:pPr>
        <w:pStyle w:val="ListParagraph"/>
        <w:tabs>
          <w:tab w:val="num" w:pos="567"/>
        </w:tabs>
        <w:ind w:left="567" w:hanging="425"/>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43" w:name="_Ref366239979"/>
      <w:r w:rsidRPr="00393E7A">
        <w:rPr>
          <w:lang w:val="en-GB"/>
        </w:rPr>
        <w:t>Setting out the standards of an effective investigat</w:t>
      </w:r>
      <w:r w:rsidR="00CD6EFB">
        <w:rPr>
          <w:lang w:val="en-GB"/>
        </w:rPr>
        <w:t xml:space="preserve">ion, the Court has stated that </w:t>
      </w:r>
      <w:r w:rsidRPr="00393E7A">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Pr>
          <w:lang w:val="en-GB"/>
        </w:rPr>
        <w:t>punishment of those responsible</w:t>
      </w:r>
      <w:r w:rsidRPr="00393E7A">
        <w:rPr>
          <w:lang w:val="en-GB"/>
        </w:rPr>
        <w:t xml:space="preserve"> (see ECtHR [GC], </w:t>
      </w:r>
      <w:r w:rsidRPr="00393E7A">
        <w:rPr>
          <w:i/>
          <w:lang w:val="en-GB"/>
        </w:rPr>
        <w:t xml:space="preserve">Varnava and Others v. </w:t>
      </w:r>
      <w:r w:rsidRPr="00393E7A">
        <w:rPr>
          <w:lang w:val="en-GB"/>
        </w:rPr>
        <w:t xml:space="preserve">Turkey, cited in § </w:t>
      </w:r>
      <w:r w:rsidR="00D746BC">
        <w:fldChar w:fldCharType="begin"/>
      </w:r>
      <w:r w:rsidR="00D746BC">
        <w:instrText xml:space="preserve"> REF _Ref346123885 \r \h  \* MERGEFORMAT </w:instrText>
      </w:r>
      <w:r w:rsidR="00D746BC">
        <w:fldChar w:fldCharType="separate"/>
      </w:r>
      <w:r w:rsidR="002F62D4" w:rsidRPr="002F62D4">
        <w:rPr>
          <w:lang w:val="en-GB"/>
        </w:rPr>
        <w:t>44</w:t>
      </w:r>
      <w:r w:rsidR="00D746BC">
        <w:fldChar w:fldCharType="end"/>
      </w:r>
      <w:r w:rsidRPr="00393E7A">
        <w:rPr>
          <w:lang w:val="en-GB"/>
        </w:rPr>
        <w:t xml:space="preserve"> above, at § 191; see also ECtHR, </w:t>
      </w:r>
      <w:r w:rsidRPr="00393E7A">
        <w:rPr>
          <w:i/>
          <w:lang w:val="en-GB"/>
        </w:rPr>
        <w:t>Palić v. Bosnia and Herzegovina</w:t>
      </w:r>
      <w:r w:rsidRPr="00393E7A">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393E7A">
        <w:rPr>
          <w:i/>
          <w:lang w:val="en-GB"/>
        </w:rPr>
        <w:t>Ahmet Özkan and Others v. Turkey</w:t>
      </w:r>
      <w:r w:rsidRPr="00393E7A">
        <w:rPr>
          <w:lang w:val="en-GB"/>
        </w:rPr>
        <w:t>, cited above, at § 312, and ECtHR,</w:t>
      </w:r>
      <w:r w:rsidRPr="00393E7A">
        <w:rPr>
          <w:i/>
          <w:lang w:val="en-GB"/>
        </w:rPr>
        <w:t xml:space="preserve"> Isayeva v. Russia</w:t>
      </w:r>
      <w:r w:rsidRPr="00393E7A">
        <w:rPr>
          <w:lang w:val="en-GB"/>
        </w:rPr>
        <w:t>, cited above, at § 212).</w:t>
      </w:r>
      <w:bookmarkEnd w:id="42"/>
      <w:bookmarkEnd w:id="43"/>
      <w:r w:rsidRPr="00393E7A">
        <w:rPr>
          <w:lang w:val="en-GB"/>
        </w:rPr>
        <w:t xml:space="preserve"> </w:t>
      </w:r>
    </w:p>
    <w:p w:rsidR="003E3F85" w:rsidRPr="00393E7A" w:rsidRDefault="003E3F85" w:rsidP="003E3F85">
      <w:pPr>
        <w:pStyle w:val="ListParagraph"/>
        <w:suppressAutoHyphens w:val="0"/>
        <w:ind w:left="360"/>
        <w:contextualSpacing/>
        <w:jc w:val="both"/>
        <w:rPr>
          <w:lang w:val="en-GB" w:eastAsia="en-US"/>
        </w:rPr>
      </w:pPr>
    </w:p>
    <w:p w:rsidR="00423598" w:rsidRPr="00393E7A" w:rsidRDefault="003E3F85" w:rsidP="00423598">
      <w:pPr>
        <w:pStyle w:val="ListParagraph"/>
        <w:numPr>
          <w:ilvl w:val="0"/>
          <w:numId w:val="2"/>
        </w:numPr>
        <w:jc w:val="both"/>
        <w:rPr>
          <w:lang w:val="en-GB" w:eastAsia="en-US"/>
        </w:rPr>
      </w:pPr>
      <w:bookmarkStart w:id="44" w:name="_Ref373832219"/>
      <w:bookmarkStart w:id="45" w:name="_Ref401245516"/>
      <w:r w:rsidRPr="00393E7A">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393E7A">
        <w:rPr>
          <w:i/>
          <w:lang w:val="en-GB"/>
        </w:rPr>
        <w:t>Kolevi v. Bulgaria</w:t>
      </w:r>
      <w:r w:rsidRPr="00393E7A">
        <w:rPr>
          <w:lang w:val="en-GB"/>
        </w:rPr>
        <w:t xml:space="preserve">, cited in § </w:t>
      </w:r>
      <w:r w:rsidR="00D746BC">
        <w:fldChar w:fldCharType="begin"/>
      </w:r>
      <w:r w:rsidR="00D746BC">
        <w:instrText xml:space="preserve"> REF _Ref366239860 \r \h  \* MERGEFORMAT </w:instrText>
      </w:r>
      <w:r w:rsidR="00D746BC">
        <w:fldChar w:fldCharType="separate"/>
      </w:r>
      <w:r w:rsidR="002F62D4" w:rsidRPr="002F62D4">
        <w:rPr>
          <w:lang w:val="en-GB"/>
        </w:rPr>
        <w:t>69</w:t>
      </w:r>
      <w:r w:rsidR="00D746BC">
        <w:fldChar w:fldCharType="end"/>
      </w:r>
      <w:r w:rsidRPr="00393E7A">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44"/>
      <w:r w:rsidR="00423598" w:rsidRPr="00393E7A">
        <w:rPr>
          <w:lang w:val="en-GB"/>
        </w:rPr>
        <w:t xml:space="preserve"> </w:t>
      </w:r>
      <w:r w:rsidR="00423598" w:rsidRPr="00393E7A">
        <w:rPr>
          <w:color w:val="000000"/>
          <w:lang w:val="en-GB"/>
        </w:rPr>
        <w:t xml:space="preserve">(see ECtHR, </w:t>
      </w:r>
      <w:r w:rsidR="00423598" w:rsidRPr="00393E7A">
        <w:rPr>
          <w:i/>
          <w:color w:val="000000"/>
          <w:lang w:val="en-GB"/>
        </w:rPr>
        <w:t>Velcea and Maz</w:t>
      </w:r>
      <w:r w:rsidR="00423598" w:rsidRPr="00393E7A">
        <w:rPr>
          <w:i/>
          <w:lang w:val="en-GB"/>
        </w:rPr>
        <w:t>ăre v. Romania</w:t>
      </w:r>
      <w:r w:rsidR="00423598" w:rsidRPr="00393E7A">
        <w:rPr>
          <w:lang w:val="en-GB"/>
        </w:rPr>
        <w:t xml:space="preserve">, no. 64301/01, judgment of 1 December 2009, § 105). At the same time, </w:t>
      </w:r>
      <w:r w:rsidR="00423598" w:rsidRPr="00393E7A">
        <w:rPr>
          <w:rStyle w:val="sb8d990e2"/>
        </w:rPr>
        <w:t>the authorities must always make a serious attempt to find out what happened and should not rely on hasty or ill-founded conclusions to close their investigation</w:t>
      </w:r>
      <w:r w:rsidR="00423598" w:rsidRPr="00393E7A">
        <w:rPr>
          <w:rStyle w:val="sb8d990e2"/>
          <w:color w:val="FF0000"/>
        </w:rPr>
        <w:t xml:space="preserve"> </w:t>
      </w:r>
      <w:r w:rsidR="00423598" w:rsidRPr="00393E7A">
        <w:rPr>
          <w:lang w:val="en-GB" w:eastAsia="en-US"/>
        </w:rPr>
        <w:t xml:space="preserve">(see ECtHR [GC], </w:t>
      </w:r>
      <w:r w:rsidR="00423598" w:rsidRPr="00393E7A">
        <w:rPr>
          <w:i/>
          <w:lang w:val="en-GB" w:eastAsia="en-US"/>
        </w:rPr>
        <w:t>El-Masri v. “The Former Yugoslav Republic of Macedonia”</w:t>
      </w:r>
      <w:r w:rsidR="00423598" w:rsidRPr="00393E7A">
        <w:rPr>
          <w:lang w:val="en-GB" w:eastAsia="en-US"/>
        </w:rPr>
        <w:t xml:space="preserve">, no. 39630/09, judgment of 13 December 2012, § 183; ECtHR [GC], </w:t>
      </w:r>
      <w:r w:rsidR="00423598" w:rsidRPr="00393E7A">
        <w:rPr>
          <w:i/>
          <w:lang w:val="en-GB" w:eastAsia="en-US"/>
        </w:rPr>
        <w:t>Mocanu and Others v. Romania</w:t>
      </w:r>
      <w:r w:rsidR="00423598" w:rsidRPr="00393E7A">
        <w:rPr>
          <w:lang w:val="en-GB" w:eastAsia="en-US"/>
        </w:rPr>
        <w:t xml:space="preserve">, cited in § </w:t>
      </w:r>
      <w:r w:rsidR="00D746BC">
        <w:fldChar w:fldCharType="begin"/>
      </w:r>
      <w:r w:rsidR="00D746BC">
        <w:instrText xml:space="preserve"> REF _Ref401245061 \r \h  \* MERGEFORMAT </w:instrText>
      </w:r>
      <w:r w:rsidR="00D746BC">
        <w:fldChar w:fldCharType="separate"/>
      </w:r>
      <w:r w:rsidR="002F62D4" w:rsidRPr="002F62D4">
        <w:rPr>
          <w:lang w:val="en-GB" w:eastAsia="en-US"/>
        </w:rPr>
        <w:t>70</w:t>
      </w:r>
      <w:r w:rsidR="00D746BC">
        <w:fldChar w:fldCharType="end"/>
      </w:r>
      <w:r w:rsidR="00423598" w:rsidRPr="00393E7A">
        <w:rPr>
          <w:lang w:val="en-GB" w:eastAsia="en-US"/>
        </w:rPr>
        <w:t xml:space="preserve"> above, at § 322).</w:t>
      </w:r>
      <w:bookmarkEnd w:id="45"/>
    </w:p>
    <w:p w:rsidR="003E3F85" w:rsidRPr="00393E7A" w:rsidRDefault="003E3F85" w:rsidP="00423598">
      <w:pPr>
        <w:tabs>
          <w:tab w:val="left" w:pos="709"/>
        </w:tabs>
        <w:suppressAutoHyphens/>
        <w:autoSpaceDE w:val="0"/>
        <w:ind w:left="360"/>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46" w:name="_Ref404684740"/>
      <w:r w:rsidRPr="00393E7A">
        <w:rPr>
          <w:rStyle w:val="sb8d990e2"/>
        </w:rPr>
        <w:t xml:space="preserve">A requirement of promptness and reasonable expedition is implicit in this context. Even where there may be obstacles or difficulties which prevent progress in an </w:t>
      </w:r>
      <w:bookmarkStart w:id="47" w:name="HIT98"/>
      <w:bookmarkEnd w:id="47"/>
      <w:r w:rsidRPr="00393E7A">
        <w:rPr>
          <w:rStyle w:val="sb8d990e2"/>
        </w:rPr>
        <w:t xml:space="preserve">investigation in a </w:t>
      </w:r>
      <w:r w:rsidRPr="00393E7A">
        <w:rPr>
          <w:rStyle w:val="sb8d990e2"/>
        </w:rPr>
        <w:lastRenderedPageBreak/>
        <w:t xml:space="preserve">particular situation, a </w:t>
      </w:r>
      <w:bookmarkStart w:id="48" w:name="HIT99"/>
      <w:bookmarkEnd w:id="48"/>
      <w:r w:rsidRPr="00393E7A">
        <w:rPr>
          <w:rStyle w:val="sb8d990e2"/>
        </w:rPr>
        <w:t>prompt response by the authorities is vital in maintaining public confidence in their adherence to the rule of law and in preventing any appearance of collusion in or tolerance of unlawful acts (see ECtHR,</w:t>
      </w:r>
      <w:r w:rsidRPr="00393E7A">
        <w:rPr>
          <w:rStyle w:val="s6b621b36"/>
        </w:rPr>
        <w:t xml:space="preserve"> </w:t>
      </w:r>
      <w:r w:rsidRPr="00393E7A">
        <w:rPr>
          <w:rStyle w:val="s6b621b36"/>
          <w:i/>
        </w:rPr>
        <w:t>Paul and Audrey Edwards</w:t>
      </w:r>
      <w:r w:rsidRPr="00393E7A">
        <w:rPr>
          <w:rStyle w:val="sb8d990e2"/>
        </w:rPr>
        <w:t xml:space="preserve"> </w:t>
      </w:r>
      <w:r w:rsidRPr="00393E7A">
        <w:rPr>
          <w:i/>
        </w:rPr>
        <w:t>v. the United Kingdom</w:t>
      </w:r>
      <w:r w:rsidRPr="00393E7A">
        <w:t xml:space="preserve">, no. 46477/99, judgment of 14 March 2002, § 72, </w:t>
      </w:r>
      <w:r w:rsidR="00423598" w:rsidRPr="00393E7A">
        <w:t xml:space="preserve">ECtHR [GC], </w:t>
      </w:r>
      <w:r w:rsidR="00423598" w:rsidRPr="00393E7A">
        <w:rPr>
          <w:i/>
        </w:rPr>
        <w:t>Mocanu and Others v. Romania</w:t>
      </w:r>
      <w:r w:rsidR="00423598" w:rsidRPr="00393E7A">
        <w:t xml:space="preserve">, cited in § </w:t>
      </w:r>
      <w:r w:rsidR="00D746BC">
        <w:fldChar w:fldCharType="begin"/>
      </w:r>
      <w:r w:rsidR="00D746BC">
        <w:instrText xml:space="preserve"> REF _Ref401245061 \r \h  \* MERGEFORMAT </w:instrText>
      </w:r>
      <w:r w:rsidR="00D746BC">
        <w:fldChar w:fldCharType="separate"/>
      </w:r>
      <w:r w:rsidR="002F62D4">
        <w:t>70</w:t>
      </w:r>
      <w:r w:rsidR="00D746BC">
        <w:fldChar w:fldCharType="end"/>
      </w:r>
      <w:r w:rsidR="00423598" w:rsidRPr="00393E7A">
        <w:t xml:space="preserve"> above, at § 323</w:t>
      </w:r>
      <w:r w:rsidRPr="00393E7A">
        <w:t>).</w:t>
      </w:r>
      <w:bookmarkEnd w:id="46"/>
    </w:p>
    <w:p w:rsidR="003E3F85" w:rsidRPr="00393E7A" w:rsidRDefault="003E3F85" w:rsidP="003E3F85">
      <w:pPr>
        <w:tabs>
          <w:tab w:val="num" w:pos="567"/>
        </w:tabs>
        <w:ind w:left="567" w:hanging="425"/>
        <w:contextualSpacing/>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49" w:name="_Ref373950745"/>
      <w:r w:rsidRPr="00393E7A">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393E7A">
        <w:rPr>
          <w:i/>
          <w:lang w:val="en-GB"/>
        </w:rPr>
        <w:t>Palić v. Bosnia and Herzegovina</w:t>
      </w:r>
      <w:r w:rsidRPr="00393E7A">
        <w:rPr>
          <w:lang w:val="en-GB"/>
        </w:rPr>
        <w:t xml:space="preserve">, cited in § </w:t>
      </w:r>
      <w:r w:rsidR="00D746BC">
        <w:fldChar w:fldCharType="begin"/>
      </w:r>
      <w:r w:rsidR="00D746BC">
        <w:instrText xml:space="preserve"> REF _Ref366239979 \r \h  \* MERGEFORMAT </w:instrText>
      </w:r>
      <w:r w:rsidR="00D746BC">
        <w:fldChar w:fldCharType="separate"/>
      </w:r>
      <w:r w:rsidR="002F62D4" w:rsidRPr="002F62D4">
        <w:rPr>
          <w:lang w:val="en-GB"/>
        </w:rPr>
        <w:t>72</w:t>
      </w:r>
      <w:r w:rsidR="00D746BC">
        <w:fldChar w:fldCharType="end"/>
      </w:r>
      <w:r w:rsidRPr="00393E7A">
        <w:rPr>
          <w:lang w:val="en-GB"/>
        </w:rPr>
        <w:t xml:space="preserve"> above, § 46; in the same sense ECtHR [GC], </w:t>
      </w:r>
      <w:r w:rsidRPr="00393E7A">
        <w:rPr>
          <w:i/>
          <w:lang w:val="en-GB"/>
        </w:rPr>
        <w:t>Varnava and Others v. Turkey</w:t>
      </w:r>
      <w:r w:rsidRPr="00393E7A">
        <w:rPr>
          <w:lang w:val="en-GB"/>
        </w:rPr>
        <w:t xml:space="preserve">, cited in § </w:t>
      </w:r>
      <w:r w:rsidR="00D746BC">
        <w:fldChar w:fldCharType="begin"/>
      </w:r>
      <w:r w:rsidR="00D746BC">
        <w:instrText xml:space="preserve"> REF _Ref346123885 \r \h  \* MERGEFORMAT </w:instrText>
      </w:r>
      <w:r w:rsidR="00D746BC">
        <w:fldChar w:fldCharType="separate"/>
      </w:r>
      <w:r w:rsidR="002F62D4" w:rsidRPr="002F62D4">
        <w:rPr>
          <w:lang w:val="en-GB"/>
        </w:rPr>
        <w:t>44</w:t>
      </w:r>
      <w:r w:rsidR="00D746BC">
        <w:fldChar w:fldCharType="end"/>
      </w:r>
      <w:r w:rsidRPr="00393E7A">
        <w:rPr>
          <w:lang w:val="en-GB"/>
        </w:rPr>
        <w:t xml:space="preserve"> above, § 148, </w:t>
      </w:r>
      <w:r w:rsidRPr="00393E7A">
        <w:rPr>
          <w:i/>
          <w:lang w:val="en-GB"/>
        </w:rPr>
        <w:t>Aslakhanova and Others v. Russia</w:t>
      </w:r>
      <w:r w:rsidRPr="00393E7A">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393E7A">
        <w:rPr>
          <w:i/>
          <w:lang w:val="en-GB"/>
        </w:rPr>
        <w:t>Palić v. Bosnia and Herzegovina</w:t>
      </w:r>
      <w:r w:rsidRPr="00393E7A">
        <w:rPr>
          <w:lang w:val="en-GB"/>
        </w:rPr>
        <w:t xml:space="preserve">, cited above, § 46; in the same sense ECtHR [GC], </w:t>
      </w:r>
      <w:r w:rsidRPr="00393E7A">
        <w:rPr>
          <w:i/>
          <w:lang w:val="en-GB"/>
        </w:rPr>
        <w:t>Varnava and Others v. Turkey</w:t>
      </w:r>
      <w:r w:rsidRPr="00393E7A">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393E7A">
        <w:rPr>
          <w:i/>
          <w:lang w:val="en-GB"/>
        </w:rPr>
        <w:t>Palić v. Bosnia and Herzegovina</w:t>
      </w:r>
      <w:r w:rsidRPr="00393E7A">
        <w:rPr>
          <w:lang w:val="en-GB"/>
        </w:rPr>
        <w:t>, cited above, § 64).</w:t>
      </w:r>
      <w:bookmarkStart w:id="50" w:name="_Ref347937166"/>
      <w:bookmarkEnd w:id="49"/>
    </w:p>
    <w:p w:rsidR="003E3F85" w:rsidRPr="00393E7A" w:rsidRDefault="003E3F85" w:rsidP="003E3F85">
      <w:pPr>
        <w:pStyle w:val="ListParagraph"/>
        <w:suppressAutoHyphens w:val="0"/>
        <w:ind w:left="360"/>
        <w:contextualSpacing/>
        <w:jc w:val="both"/>
        <w:rPr>
          <w:lang w:val="en-GB" w:eastAsia="en-US"/>
        </w:rPr>
      </w:pPr>
    </w:p>
    <w:p w:rsidR="002437E9" w:rsidRPr="00393E7A" w:rsidRDefault="003E3F85" w:rsidP="002437E9">
      <w:pPr>
        <w:numPr>
          <w:ilvl w:val="0"/>
          <w:numId w:val="2"/>
        </w:numPr>
        <w:tabs>
          <w:tab w:val="left" w:pos="709"/>
        </w:tabs>
        <w:suppressAutoHyphens/>
        <w:autoSpaceDE w:val="0"/>
        <w:jc w:val="both"/>
        <w:rPr>
          <w:lang w:val="en-GB"/>
        </w:rPr>
      </w:pPr>
      <w:bookmarkStart w:id="51" w:name="_Ref366240205"/>
      <w:r w:rsidRPr="00393E7A">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393E7A">
        <w:rPr>
          <w:lang w:val="en-GB"/>
        </w:rPr>
        <w:t xml:space="preserve">ECtHR, </w:t>
      </w:r>
      <w:r w:rsidRPr="00393E7A">
        <w:rPr>
          <w:i/>
          <w:lang w:val="en-GB"/>
        </w:rPr>
        <w:t>Ahmet Özkan and Others v. Turkey</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2F62D4" w:rsidRPr="002F62D4">
        <w:rPr>
          <w:lang w:val="en-GB"/>
        </w:rPr>
        <w:t>71</w:t>
      </w:r>
      <w:r w:rsidR="00D746BC">
        <w:fldChar w:fldCharType="end"/>
      </w:r>
      <w:r w:rsidRPr="00393E7A">
        <w:rPr>
          <w:lang w:val="en-GB"/>
        </w:rPr>
        <w:t xml:space="preserve"> above, at §§ 311</w:t>
      </w:r>
      <w:r w:rsidRPr="00393E7A">
        <w:rPr>
          <w:lang w:val="en-GB"/>
        </w:rPr>
        <w:noBreakHyphen/>
        <w:t xml:space="preserve">314; </w:t>
      </w:r>
      <w:r w:rsidR="00566413" w:rsidRPr="00393E7A">
        <w:rPr>
          <w:lang w:val="en-GB"/>
        </w:rPr>
        <w:t xml:space="preserve">ECtHR, </w:t>
      </w:r>
      <w:r w:rsidRPr="00393E7A">
        <w:rPr>
          <w:i/>
          <w:lang w:val="en-GB"/>
        </w:rPr>
        <w:t>Isayeva v. Russia</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2F62D4" w:rsidRPr="002F62D4">
        <w:rPr>
          <w:lang w:val="en-GB"/>
        </w:rPr>
        <w:t>71</w:t>
      </w:r>
      <w:r w:rsidR="00D746BC">
        <w:fldChar w:fldCharType="end"/>
      </w:r>
      <w:r w:rsidRPr="00393E7A">
        <w:rPr>
          <w:lang w:val="en-GB"/>
        </w:rPr>
        <w:t xml:space="preserve"> above, §§ 211-214 and the cases cited therein</w:t>
      </w:r>
      <w:r w:rsidR="00566413" w:rsidRPr="00393E7A">
        <w:rPr>
          <w:lang w:val="en-GB"/>
        </w:rPr>
        <w:t>;</w:t>
      </w:r>
      <w:r w:rsidRPr="00393E7A">
        <w:rPr>
          <w:lang w:val="en-GB"/>
        </w:rPr>
        <w:t xml:space="preserve"> ECtHR [GC], </w:t>
      </w:r>
      <w:r w:rsidRPr="00393E7A">
        <w:rPr>
          <w:i/>
          <w:lang w:val="en-GB"/>
        </w:rPr>
        <w:t>Al-Skeini and Others v. United Kingdom</w:t>
      </w:r>
      <w:r w:rsidRPr="00393E7A">
        <w:rPr>
          <w:lang w:val="en-GB"/>
        </w:rPr>
        <w:t>, no. 55721/07, judgment of 7 July 2011, § 167, ECHR 2011</w:t>
      </w:r>
      <w:r w:rsidR="00423598" w:rsidRPr="00393E7A">
        <w:rPr>
          <w:lang w:val="en-GB"/>
        </w:rPr>
        <w:t xml:space="preserve">, ECtHR [GC], </w:t>
      </w:r>
      <w:r w:rsidR="00423598" w:rsidRPr="00393E7A">
        <w:rPr>
          <w:i/>
          <w:lang w:val="en-GB"/>
        </w:rPr>
        <w:t>Mocanu and Others v. Romania</w:t>
      </w:r>
      <w:r w:rsidR="00423598" w:rsidRPr="00393E7A">
        <w:rPr>
          <w:lang w:val="en-GB"/>
        </w:rPr>
        <w:t xml:space="preserve">, cited in § </w:t>
      </w:r>
      <w:r w:rsidR="00D746BC">
        <w:fldChar w:fldCharType="begin"/>
      </w:r>
      <w:r w:rsidR="00D746BC">
        <w:instrText xml:space="preserve"> REF _Ref401245061 \r \h  \* MERGEFORMAT </w:instrText>
      </w:r>
      <w:r w:rsidR="00D746BC">
        <w:fldChar w:fldCharType="separate"/>
      </w:r>
      <w:r w:rsidR="002F62D4" w:rsidRPr="002F62D4">
        <w:rPr>
          <w:lang w:val="en-GB"/>
        </w:rPr>
        <w:t>70</w:t>
      </w:r>
      <w:r w:rsidR="00D746BC">
        <w:fldChar w:fldCharType="end"/>
      </w:r>
      <w:r w:rsidR="00423598" w:rsidRPr="00393E7A">
        <w:rPr>
          <w:lang w:val="en-GB"/>
        </w:rPr>
        <w:t xml:space="preserve"> above, at § 324</w:t>
      </w:r>
      <w:r w:rsidRPr="00393E7A">
        <w:rPr>
          <w:lang w:val="en-GB"/>
        </w:rPr>
        <w:t>).</w:t>
      </w:r>
      <w:bookmarkEnd w:id="50"/>
      <w:bookmarkEnd w:id="51"/>
    </w:p>
    <w:p w:rsidR="002437E9" w:rsidRPr="00393E7A" w:rsidRDefault="002437E9" w:rsidP="002437E9">
      <w:pPr>
        <w:pStyle w:val="ListParagraph"/>
        <w:rPr>
          <w:lang w:val="en-GB"/>
        </w:rPr>
      </w:pPr>
    </w:p>
    <w:p w:rsidR="003E3F85" w:rsidRPr="00393E7A" w:rsidRDefault="002437E9" w:rsidP="002437E9">
      <w:pPr>
        <w:numPr>
          <w:ilvl w:val="0"/>
          <w:numId w:val="2"/>
        </w:numPr>
        <w:tabs>
          <w:tab w:val="left" w:pos="709"/>
        </w:tabs>
        <w:suppressAutoHyphens/>
        <w:autoSpaceDE w:val="0"/>
        <w:jc w:val="both"/>
        <w:rPr>
          <w:lang w:val="en-GB"/>
        </w:rPr>
      </w:pPr>
      <w:r w:rsidRPr="00393E7A">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393E7A">
        <w:rPr>
          <w:lang w:val="en-GB"/>
        </w:rPr>
        <w:t xml:space="preserve">ECtHR, </w:t>
      </w:r>
      <w:r w:rsidR="00423598" w:rsidRPr="00393E7A">
        <w:rPr>
          <w:i/>
          <w:iCs/>
          <w:lang w:val="en-GB"/>
        </w:rPr>
        <w:t>El-Masri v. “The Former Yugoslav Republic of Macedonia”</w:t>
      </w:r>
      <w:r w:rsidR="00423598" w:rsidRPr="00393E7A">
        <w:rPr>
          <w:lang w:val="en-GB"/>
        </w:rPr>
        <w:t xml:space="preserve">, cited in § </w:t>
      </w:r>
      <w:r w:rsidR="00D746BC">
        <w:fldChar w:fldCharType="begin"/>
      </w:r>
      <w:r w:rsidR="00D746BC">
        <w:instrText xml:space="preserve"> REF _Ref401245516 \r \h  \* MERGEFORMAT </w:instrText>
      </w:r>
      <w:r w:rsidR="00D746BC">
        <w:fldChar w:fldCharType="separate"/>
      </w:r>
      <w:r w:rsidR="002F62D4" w:rsidRPr="002F62D4">
        <w:rPr>
          <w:lang w:val="en-GB"/>
        </w:rPr>
        <w:t>73</w:t>
      </w:r>
      <w:r w:rsidR="00D746BC">
        <w:fldChar w:fldCharType="end"/>
      </w:r>
      <w:r w:rsidR="00423598" w:rsidRPr="00393E7A">
        <w:rPr>
          <w:lang w:val="en-GB"/>
        </w:rPr>
        <w:t xml:space="preserve"> above, § 191</w:t>
      </w:r>
      <w:r w:rsidRPr="00393E7A">
        <w:rPr>
          <w:lang w:val="en-GB"/>
        </w:rPr>
        <w:t xml:space="preserve">; ECtHR, </w:t>
      </w:r>
      <w:r w:rsidRPr="00393E7A">
        <w:rPr>
          <w:i/>
          <w:iCs/>
          <w:lang w:val="en-GB"/>
        </w:rPr>
        <w:t>Al Nashiri v. Poland</w:t>
      </w:r>
      <w:r w:rsidRPr="00393E7A">
        <w:rPr>
          <w:lang w:val="en-GB"/>
        </w:rPr>
        <w:t xml:space="preserve">, no. 28761/11, judgment of 24 July 2014, §§ 495-496). </w:t>
      </w:r>
      <w:r w:rsidRPr="00393E7A">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393E7A">
        <w:t xml:space="preserve"> see also HRC,  </w:t>
      </w:r>
      <w:r w:rsidRPr="00393E7A">
        <w:rPr>
          <w:i/>
          <w:iCs/>
        </w:rPr>
        <w:t>Schedko and Bondarenko v. Belarus</w:t>
      </w:r>
      <w:r w:rsidRPr="00393E7A">
        <w:t xml:space="preserve">, Communication no. 886/1999, views of 3 April 2003, § 10.2, CCPR/C/77/D/886/1999; HRC, </w:t>
      </w:r>
      <w:r w:rsidRPr="00393E7A">
        <w:rPr>
          <w:i/>
          <w:iCs/>
        </w:rPr>
        <w:t xml:space="preserve">Mariam, Philippe, </w:t>
      </w:r>
      <w:r w:rsidRPr="00393E7A">
        <w:rPr>
          <w:i/>
          <w:iCs/>
        </w:rPr>
        <w:lastRenderedPageBreak/>
        <w:t>Auguste and Thomas Sankara v. Burkina Faso</w:t>
      </w:r>
      <w:r w:rsidRPr="00393E7A">
        <w:t>, Communication no. 1159/2003, views of 8 March 2006</w:t>
      </w:r>
      <w:r w:rsidRPr="00393E7A">
        <w:rPr>
          <w:color w:val="000000"/>
          <w:sz w:val="27"/>
          <w:szCs w:val="27"/>
          <w:shd w:val="clear" w:color="auto" w:fill="FFFFFF"/>
        </w:rPr>
        <w:t xml:space="preserve">, </w:t>
      </w:r>
      <w:r w:rsidRPr="00393E7A">
        <w:t xml:space="preserve">§ 10.2, CCPR/C/86/D/1159/2003; UN Human Rights Council, Resolutions 9/11 and 12/12: Right to the </w:t>
      </w:r>
      <w:r w:rsidRPr="00393E7A">
        <w:rPr>
          <w:lang w:val="en-GB"/>
        </w:rPr>
        <w:t>Truth</w:t>
      </w:r>
      <w:r w:rsidRPr="00393E7A">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393E7A">
        <w:rPr>
          <w:i/>
          <w:iCs/>
        </w:rPr>
        <w:t>Framework Principles for securing the accountability of public officials for gross and systematic human rights violations committed in the context of State counter-terrorist initiatives</w:t>
      </w:r>
      <w:r w:rsidRPr="00393E7A">
        <w:t>, UN Document A/HRC/22/52, 1 March 2013, § 23-26).</w:t>
      </w:r>
    </w:p>
    <w:p w:rsidR="002C60F4" w:rsidRPr="00393E7A" w:rsidRDefault="002C60F4" w:rsidP="002437E9">
      <w:pPr>
        <w:tabs>
          <w:tab w:val="left" w:pos="709"/>
        </w:tabs>
        <w:suppressAutoHyphens/>
        <w:autoSpaceDE w:val="0"/>
        <w:ind w:left="360"/>
        <w:jc w:val="both"/>
        <w:rPr>
          <w:lang w:val="en-GB"/>
        </w:rPr>
      </w:pPr>
    </w:p>
    <w:p w:rsidR="003E3F85" w:rsidRPr="00393E7A" w:rsidRDefault="003E3F85" w:rsidP="003E3F85">
      <w:pPr>
        <w:pStyle w:val="ListParagraph"/>
        <w:numPr>
          <w:ilvl w:val="0"/>
          <w:numId w:val="7"/>
        </w:numPr>
        <w:contextualSpacing/>
        <w:jc w:val="both"/>
        <w:rPr>
          <w:i/>
          <w:lang w:val="en-GB" w:eastAsia="en-US"/>
        </w:rPr>
      </w:pPr>
      <w:r w:rsidRPr="00393E7A">
        <w:rPr>
          <w:i/>
          <w:lang w:val="en-GB"/>
        </w:rPr>
        <w:t>Applicability</w:t>
      </w:r>
      <w:r w:rsidRPr="00393E7A">
        <w:rPr>
          <w:i/>
          <w:lang w:val="en-GB" w:eastAsia="en-US"/>
        </w:rPr>
        <w:t xml:space="preserve"> of Article 2 to the Kosovo context</w:t>
      </w:r>
    </w:p>
    <w:p w:rsidR="003E3F85" w:rsidRPr="00393E7A" w:rsidRDefault="003E3F85" w:rsidP="003E3F85">
      <w:pPr>
        <w:pStyle w:val="ListParagraph"/>
        <w:tabs>
          <w:tab w:val="num" w:pos="567"/>
        </w:tabs>
        <w:ind w:left="567" w:hanging="425"/>
        <w:rPr>
          <w:lang w:val="en-GB" w:eastAsia="en-US"/>
        </w:rPr>
      </w:pPr>
    </w:p>
    <w:p w:rsidR="003E3F85" w:rsidRPr="007269BF" w:rsidRDefault="003E3F85" w:rsidP="003E3F85">
      <w:pPr>
        <w:numPr>
          <w:ilvl w:val="0"/>
          <w:numId w:val="2"/>
        </w:numPr>
        <w:tabs>
          <w:tab w:val="left" w:pos="709"/>
        </w:tabs>
        <w:suppressAutoHyphens/>
        <w:autoSpaceDE w:val="0"/>
        <w:jc w:val="both"/>
        <w:rPr>
          <w:lang w:val="en-GB"/>
        </w:rPr>
      </w:pPr>
      <w:bookmarkStart w:id="52" w:name="_Ref366163783"/>
      <w:r w:rsidRPr="007269BF">
        <w:rPr>
          <w:lang w:val="en-GB"/>
        </w:rPr>
        <w:t xml:space="preserve">The Panel is conscious that </w:t>
      </w:r>
      <w:r w:rsidR="00C338CE" w:rsidRPr="007269BF">
        <w:rPr>
          <w:lang w:val="en-GB"/>
        </w:rPr>
        <w:t xml:space="preserve">Mr </w:t>
      </w:r>
      <w:proofErr w:type="spellStart"/>
      <w:r w:rsidR="00C338CE" w:rsidRPr="007269BF">
        <w:rPr>
          <w:lang w:val="en-GB"/>
        </w:rPr>
        <w:t>Ðorđe</w:t>
      </w:r>
      <w:proofErr w:type="spellEnd"/>
      <w:r w:rsidR="00C338CE" w:rsidRPr="007269BF">
        <w:rPr>
          <w:lang w:val="en-GB"/>
        </w:rPr>
        <w:t xml:space="preserve"> </w:t>
      </w:r>
      <w:proofErr w:type="spellStart"/>
      <w:r w:rsidR="00C338CE" w:rsidRPr="007269BF">
        <w:rPr>
          <w:lang w:val="en-GB"/>
        </w:rPr>
        <w:t>Kuzmanović</w:t>
      </w:r>
      <w:proofErr w:type="spellEnd"/>
      <w:r w:rsidR="00C338CE" w:rsidRPr="007269BF">
        <w:rPr>
          <w:lang w:val="en-GB"/>
        </w:rPr>
        <w:t xml:space="preserve"> </w:t>
      </w:r>
      <w:r w:rsidR="00423598" w:rsidRPr="007269BF">
        <w:rPr>
          <w:lang w:val="en-GB"/>
        </w:rPr>
        <w:t>was abducted</w:t>
      </w:r>
      <w:r w:rsidR="002948A6" w:rsidRPr="007269BF">
        <w:rPr>
          <w:lang w:val="en-GB"/>
        </w:rPr>
        <w:t xml:space="preserve"> </w:t>
      </w:r>
      <w:r w:rsidR="00622236" w:rsidRPr="007269BF">
        <w:rPr>
          <w:lang w:val="en-GB"/>
        </w:rPr>
        <w:t>shortly</w:t>
      </w:r>
      <w:r w:rsidR="002948A6" w:rsidRPr="007269BF">
        <w:rPr>
          <w:lang w:val="en-GB"/>
        </w:rPr>
        <w:t xml:space="preserve"> </w:t>
      </w:r>
      <w:r w:rsidRPr="007269BF">
        <w:rPr>
          <w:lang w:val="en-GB"/>
        </w:rPr>
        <w:t>after the deployment of UNMIK in Kosovo in the aftermath of the armed conflict, when crime, violence and insecurity were rife.</w:t>
      </w:r>
      <w:bookmarkEnd w:id="52"/>
    </w:p>
    <w:p w:rsidR="003E3F85" w:rsidRPr="00393E7A" w:rsidRDefault="003E3F85" w:rsidP="003E3F85">
      <w:pPr>
        <w:pStyle w:val="ListParagraph"/>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393E7A" w:rsidRDefault="003E3F85" w:rsidP="003E3F85">
      <w:pPr>
        <w:pStyle w:val="ListParagraph"/>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w:t>
      </w:r>
      <w:r w:rsidRPr="00393E7A">
        <w:rPr>
          <w:lang w:val="en-GB" w:eastAsia="nl-BE"/>
        </w:rPr>
        <w:t>Panel</w:t>
      </w:r>
      <w:r w:rsidRPr="00393E7A">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393E7A" w:rsidRDefault="003E3F85" w:rsidP="003E3F85">
      <w:pPr>
        <w:pStyle w:val="ListParagraph"/>
        <w:ind w:left="567" w:hanging="425"/>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As regards </w:t>
      </w:r>
      <w:r w:rsidRPr="00393E7A">
        <w:t>t</w:t>
      </w:r>
      <w:r w:rsidRPr="00393E7A">
        <w:rPr>
          <w:lang w:val="en-GB"/>
        </w:rPr>
        <w:t xml:space="preserve">he applicability of Article 2 to UNMIK, the Panel recalls </w:t>
      </w:r>
      <w:r w:rsidRPr="00393E7A">
        <w:rPr>
          <w:lang w:val="en-GB" w:eastAsia="nl-BE"/>
        </w:rPr>
        <w:t xml:space="preserve">that with the adoption of the UNMIK Regulation No. 1999/1 on 25 July 1999 UNMIK undertook an obligation to observe internationally recognised human rights standards in exercising its </w:t>
      </w:r>
      <w:r w:rsidRPr="00393E7A">
        <w:rPr>
          <w:lang w:val="en-GB"/>
        </w:rPr>
        <w:t>functions</w:t>
      </w:r>
      <w:r w:rsidRPr="00393E7A">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393E7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393E7A">
        <w:rPr>
          <w:i/>
          <w:lang w:val="en-GB"/>
        </w:rPr>
        <w:t>Milogorić</w:t>
      </w:r>
      <w:r w:rsidRPr="00393E7A">
        <w:rPr>
          <w:lang w:val="en-GB"/>
        </w:rPr>
        <w:t xml:space="preserve"> </w:t>
      </w:r>
      <w:r w:rsidRPr="00393E7A">
        <w:rPr>
          <w:i/>
          <w:lang w:val="en-GB"/>
        </w:rPr>
        <w:t>and Others,</w:t>
      </w:r>
      <w:r w:rsidRPr="00393E7A">
        <w:rPr>
          <w:lang w:val="en-GB"/>
        </w:rPr>
        <w:t xml:space="preserve"> nos. 38/08 and others, opinion of 24 March 2011, § 44; </w:t>
      </w:r>
      <w:r w:rsidRPr="00393E7A">
        <w:rPr>
          <w:i/>
          <w:lang w:val="en-GB"/>
        </w:rPr>
        <w:t>Berisha and Others,</w:t>
      </w:r>
      <w:r w:rsidRPr="00393E7A">
        <w:rPr>
          <w:lang w:val="en-GB"/>
        </w:rPr>
        <w:t xml:space="preserve"> nos. 27/08 and others, opinion of 23 February 2011,</w:t>
      </w:r>
      <w:r w:rsidRPr="00393E7A">
        <w:rPr>
          <w:i/>
          <w:lang w:val="en-GB"/>
        </w:rPr>
        <w:t xml:space="preserve"> </w:t>
      </w:r>
      <w:r w:rsidRPr="00393E7A">
        <w:rPr>
          <w:lang w:val="en-GB"/>
        </w:rPr>
        <w:t xml:space="preserve">§ 25; </w:t>
      </w:r>
      <w:r w:rsidRPr="00393E7A">
        <w:rPr>
          <w:i/>
          <w:lang w:val="en-GB"/>
        </w:rPr>
        <w:t>Lalić and Others</w:t>
      </w:r>
      <w:r w:rsidRPr="00393E7A">
        <w:rPr>
          <w:lang w:val="en-GB"/>
        </w:rPr>
        <w:t>, nos. 09/08 and others, opinion of 9 June 2012, § 22).</w:t>
      </w:r>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53" w:name="_Ref366241246"/>
      <w:r w:rsidRPr="00393E7A">
        <w:rPr>
          <w:lang w:val="en-GB"/>
        </w:rPr>
        <w:t xml:space="preserve">Concerning the applicability of Article 2 to situations of conflict or generalised violence, the Panel </w:t>
      </w:r>
      <w:r w:rsidRPr="00393E7A">
        <w:t>recalls</w:t>
      </w:r>
      <w:r w:rsidRPr="00393E7A">
        <w:rPr>
          <w:lang w:val="en-GB"/>
        </w:rPr>
        <w:t xml:space="preserve"> that the European Court of Human Rights has established the applicability of Article 2 to post-conflict situations, including in countries of the former Yugoslavia (see, among other examples, ECtHR, </w:t>
      </w:r>
      <w:r w:rsidRPr="00393E7A">
        <w:rPr>
          <w:i/>
          <w:lang w:val="en-GB"/>
        </w:rPr>
        <w:t>Palić v. Bosnia and Herzegovina,</w:t>
      </w:r>
      <w:r w:rsidRPr="00393E7A">
        <w:rPr>
          <w:lang w:val="en-GB"/>
        </w:rPr>
        <w:t xml:space="preserve"> cited in § </w:t>
      </w:r>
      <w:r w:rsidR="00D746BC">
        <w:fldChar w:fldCharType="begin"/>
      </w:r>
      <w:r w:rsidR="00D746BC">
        <w:instrText xml:space="preserve"> REF _Ref366239979 \r \h  \* MERGEFORMAT </w:instrText>
      </w:r>
      <w:r w:rsidR="00D746BC">
        <w:fldChar w:fldCharType="separate"/>
      </w:r>
      <w:r w:rsidR="002F62D4" w:rsidRPr="002F62D4">
        <w:rPr>
          <w:lang w:val="en-GB"/>
        </w:rPr>
        <w:t>72</w:t>
      </w:r>
      <w:r w:rsidR="00D746BC">
        <w:fldChar w:fldCharType="end"/>
      </w:r>
      <w:r w:rsidRPr="00393E7A">
        <w:rPr>
          <w:lang w:val="en-GB"/>
        </w:rPr>
        <w:t xml:space="preserve"> above, and ECtHR, </w:t>
      </w:r>
      <w:r w:rsidRPr="00393E7A">
        <w:rPr>
          <w:i/>
          <w:lang w:val="en-GB"/>
        </w:rPr>
        <w:t>Jularić v. Croatia</w:t>
      </w:r>
      <w:r w:rsidRPr="00393E7A">
        <w:rPr>
          <w:lang w:val="en-GB"/>
        </w:rPr>
        <w:t xml:space="preserve">, no. 20106/06, judgment of 20 January 2011). The Court has </w:t>
      </w:r>
      <w:r w:rsidRPr="00393E7A">
        <w:rPr>
          <w:lang w:val="en-GB"/>
        </w:rPr>
        <w:lastRenderedPageBreak/>
        <w:t xml:space="preserve">further held that that the procedural obligation under Article 2 continues to apply in “difficult security conditions, including in a context of armed conflict” (see ECtHR [GC], </w:t>
      </w:r>
      <w:r w:rsidRPr="00393E7A">
        <w:rPr>
          <w:i/>
          <w:lang w:val="en-GB"/>
        </w:rPr>
        <w:t>Al-Skeini and Others v. the United Kingdom</w:t>
      </w:r>
      <w:r w:rsidRPr="00393E7A">
        <w:rPr>
          <w:lang w:val="en-GB"/>
        </w:rPr>
        <w:t xml:space="preserve">, cited in § </w:t>
      </w:r>
      <w:r w:rsidR="00D746BC">
        <w:fldChar w:fldCharType="begin"/>
      </w:r>
      <w:r w:rsidR="00D746BC">
        <w:instrText xml:space="preserve"> REF _Ref366240205 \r \h  \* MERGEFORMAT </w:instrText>
      </w:r>
      <w:r w:rsidR="00D746BC">
        <w:fldChar w:fldCharType="separate"/>
      </w:r>
      <w:r w:rsidR="002F62D4" w:rsidRPr="002F62D4">
        <w:rPr>
          <w:lang w:val="en-GB"/>
        </w:rPr>
        <w:t>76</w:t>
      </w:r>
      <w:r w:rsidR="00D746BC">
        <w:fldChar w:fldCharType="end"/>
      </w:r>
      <w:r w:rsidRPr="00393E7A">
        <w:rPr>
          <w:lang w:val="en-GB"/>
        </w:rPr>
        <w:t xml:space="preserve"> above, at § 164; see also ECtHR, </w:t>
      </w:r>
      <w:r w:rsidRPr="00393E7A">
        <w:rPr>
          <w:i/>
          <w:lang w:val="en-GB"/>
        </w:rPr>
        <w:t>Güleç v. Turkey</w:t>
      </w:r>
      <w:r w:rsidRPr="00393E7A">
        <w:rPr>
          <w:lang w:val="en-GB"/>
        </w:rPr>
        <w:t>, judgment of 27 July 1998, § 81, Reports 1998-IV; ECtHR,</w:t>
      </w:r>
      <w:r w:rsidRPr="00393E7A">
        <w:rPr>
          <w:i/>
          <w:lang w:val="en-GB"/>
        </w:rPr>
        <w:t xml:space="preserve"> Ergi v. Turkey</w:t>
      </w:r>
      <w:r w:rsidRPr="00393E7A">
        <w:rPr>
          <w:lang w:val="en-GB"/>
        </w:rPr>
        <w:t>, judgment of 28 July 1998, §§ 79 and 82, Reports 1998-IV; ECtHR,</w:t>
      </w:r>
      <w:r w:rsidRPr="00393E7A">
        <w:rPr>
          <w:i/>
          <w:lang w:val="en-GB"/>
        </w:rPr>
        <w:t xml:space="preserve"> Ahmet Özkan and Others v. Turkey</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2F62D4" w:rsidRPr="002F62D4">
        <w:rPr>
          <w:lang w:val="en-GB"/>
        </w:rPr>
        <w:t>71</w:t>
      </w:r>
      <w:r w:rsidR="00D746BC">
        <w:fldChar w:fldCharType="end"/>
      </w:r>
      <w:r w:rsidRPr="00393E7A">
        <w:rPr>
          <w:lang w:val="en-GB"/>
        </w:rPr>
        <w:t xml:space="preserve"> above, at §§ 85-90, 309-320 and 326-330;</w:t>
      </w:r>
      <w:r w:rsidRPr="00393E7A">
        <w:rPr>
          <w:i/>
          <w:lang w:val="en-GB"/>
        </w:rPr>
        <w:t xml:space="preserve"> </w:t>
      </w:r>
      <w:r w:rsidR="00B41BE6" w:rsidRPr="00393E7A">
        <w:rPr>
          <w:lang w:val="en-GB"/>
        </w:rPr>
        <w:t xml:space="preserve">ECtHR, </w:t>
      </w:r>
      <w:r w:rsidRPr="00393E7A">
        <w:rPr>
          <w:i/>
          <w:lang w:val="en-GB"/>
        </w:rPr>
        <w:t>Isayeva v. Russia</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2F62D4" w:rsidRPr="002F62D4">
        <w:rPr>
          <w:lang w:val="en-GB"/>
        </w:rPr>
        <w:t>71</w:t>
      </w:r>
      <w:r w:rsidR="00D746BC">
        <w:fldChar w:fldCharType="end"/>
      </w:r>
      <w:r w:rsidRPr="00393E7A">
        <w:rPr>
          <w:lang w:val="en-GB"/>
        </w:rPr>
        <w:t xml:space="preserve"> above, at §§ 180 and 210; ECtHR, </w:t>
      </w:r>
      <w:r w:rsidRPr="00393E7A">
        <w:rPr>
          <w:i/>
          <w:lang w:val="en-GB"/>
        </w:rPr>
        <w:t>Kanlibaş v. Turkey</w:t>
      </w:r>
      <w:r w:rsidRPr="00393E7A">
        <w:rPr>
          <w:lang w:val="en-GB"/>
        </w:rPr>
        <w:t>, no. 32444/96, judgment of 8 December 2005, §§ 39-51).</w:t>
      </w:r>
      <w:bookmarkEnd w:id="53"/>
      <w:r w:rsidRPr="00393E7A">
        <w:rPr>
          <w:lang w:val="en-GB"/>
        </w:rPr>
        <w:t xml:space="preserve"> </w:t>
      </w:r>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54" w:name="_Ref366241459"/>
      <w:r w:rsidRPr="00393E7A">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393E7A">
        <w:t>may</w:t>
      </w:r>
      <w:r w:rsidRPr="00393E7A">
        <w:rPr>
          <w:lang w:val="en-GB"/>
        </w:rPr>
        <w:t xml:space="preserve"> compel the use of less effective measures of investigation or may cause an investigation to be delayed” (see, ECtHR [GC], </w:t>
      </w:r>
      <w:r w:rsidRPr="00393E7A">
        <w:rPr>
          <w:i/>
          <w:lang w:val="en-GB"/>
        </w:rPr>
        <w:t xml:space="preserve">Al-Skeini and Others v. the United Kingdom, </w:t>
      </w:r>
      <w:r w:rsidRPr="00393E7A">
        <w:rPr>
          <w:lang w:val="en-GB"/>
        </w:rPr>
        <w:t>cited above, at §164;</w:t>
      </w:r>
      <w:r w:rsidRPr="00393E7A">
        <w:rPr>
          <w:i/>
          <w:lang w:val="en-GB"/>
        </w:rPr>
        <w:t xml:space="preserve"> </w:t>
      </w:r>
      <w:r w:rsidRPr="00393E7A">
        <w:rPr>
          <w:lang w:val="en-GB"/>
        </w:rPr>
        <w:t>ECtHR,</w:t>
      </w:r>
      <w:r w:rsidRPr="00393E7A">
        <w:rPr>
          <w:i/>
          <w:lang w:val="en-GB"/>
        </w:rPr>
        <w:t xml:space="preserve"> Bazorkina v. Russia</w:t>
      </w:r>
      <w:r w:rsidRPr="00393E7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393E7A">
        <w:rPr>
          <w:i/>
          <w:lang w:val="en-GB"/>
        </w:rPr>
        <w:t>Kaya v. Turkey</w:t>
      </w:r>
      <w:r w:rsidRPr="00393E7A">
        <w:rPr>
          <w:lang w:val="en-GB"/>
        </w:rPr>
        <w:t xml:space="preserve">, cited in § </w:t>
      </w:r>
      <w:r w:rsidR="00D746BC">
        <w:fldChar w:fldCharType="begin"/>
      </w:r>
      <w:r w:rsidR="00D746BC">
        <w:instrText xml:space="preserve"> REF _Ref366239860 \r \h  \* MERGEFORMAT </w:instrText>
      </w:r>
      <w:r w:rsidR="00D746BC">
        <w:fldChar w:fldCharType="separate"/>
      </w:r>
      <w:r w:rsidR="002F62D4" w:rsidRPr="002F62D4">
        <w:rPr>
          <w:lang w:val="en-GB"/>
        </w:rPr>
        <w:t>69</w:t>
      </w:r>
      <w:r w:rsidR="00D746BC">
        <w:fldChar w:fldCharType="end"/>
      </w:r>
      <w:r w:rsidRPr="00393E7A">
        <w:rPr>
          <w:lang w:val="en-GB"/>
        </w:rPr>
        <w:t xml:space="preserve"> above, at §§ 86</w:t>
      </w:r>
      <w:r w:rsidRPr="00393E7A">
        <w:rPr>
          <w:lang w:val="en-GB"/>
        </w:rPr>
        <w:noBreakHyphen/>
        <w:t xml:space="preserve">92; ECtHR, </w:t>
      </w:r>
      <w:r w:rsidRPr="00393E7A">
        <w:rPr>
          <w:i/>
          <w:lang w:val="en-GB"/>
        </w:rPr>
        <w:t xml:space="preserve">Ergi v Turkey, </w:t>
      </w:r>
      <w:r w:rsidRPr="00393E7A">
        <w:rPr>
          <w:lang w:val="en-GB"/>
        </w:rPr>
        <w:t xml:space="preserve">cited above, at §§ 82-85; ECtHR [GC], </w:t>
      </w:r>
      <w:r w:rsidRPr="00393E7A">
        <w:rPr>
          <w:i/>
          <w:lang w:val="en-GB"/>
        </w:rPr>
        <w:t>Tanrıkulu v. Turkey</w:t>
      </w:r>
      <w:r w:rsidRPr="00393E7A">
        <w:rPr>
          <w:lang w:val="en-GB"/>
        </w:rPr>
        <w:t xml:space="preserve">, no. 23763/94, judgment of 8 July 1999, §§ 101-110, ECHR 1999-IV; ECtHR, </w:t>
      </w:r>
      <w:r w:rsidRPr="00393E7A">
        <w:rPr>
          <w:i/>
          <w:lang w:val="en-GB"/>
        </w:rPr>
        <w:t>Khashiyev and Akayeva v. Russia</w:t>
      </w:r>
      <w:r w:rsidRPr="00393E7A">
        <w:rPr>
          <w:lang w:val="en-GB"/>
        </w:rPr>
        <w:t xml:space="preserve">, nos. 57942/00 and 57945/00, judgment of 24 February 2005, §§ 156-166; ECtHR, </w:t>
      </w:r>
      <w:r w:rsidRPr="00393E7A">
        <w:rPr>
          <w:i/>
          <w:lang w:val="en-GB"/>
        </w:rPr>
        <w:t>Isayeva v. Russia</w:t>
      </w:r>
      <w:r w:rsidRPr="00393E7A">
        <w:rPr>
          <w:lang w:val="en-GB"/>
        </w:rPr>
        <w:t>, cited above, at §§ 215</w:t>
      </w:r>
      <w:r w:rsidRPr="00393E7A">
        <w:rPr>
          <w:lang w:val="en-GB"/>
        </w:rPr>
        <w:noBreakHyphen/>
        <w:t xml:space="preserve">224; ECtHR, </w:t>
      </w:r>
      <w:r w:rsidRPr="00393E7A">
        <w:rPr>
          <w:i/>
          <w:lang w:val="en-GB"/>
        </w:rPr>
        <w:t>Musayev and Others v. Russia</w:t>
      </w:r>
      <w:r w:rsidRPr="00393E7A">
        <w:rPr>
          <w:lang w:val="en-GB"/>
        </w:rPr>
        <w:t>, nos. 57941/00 and others, judgment of 26 July 2007, §§ 158-165).</w:t>
      </w:r>
      <w:bookmarkEnd w:id="54"/>
      <w:r w:rsidRPr="00393E7A">
        <w:rPr>
          <w:lang w:val="en-GB"/>
        </w:rPr>
        <w:t xml:space="preserve"> </w:t>
      </w:r>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55" w:name="_Ref404685440"/>
      <w:r w:rsidRPr="00393E7A">
        <w:rPr>
          <w:lang w:val="en-GB"/>
        </w:rPr>
        <w:t xml:space="preserve">Similarly, the HRC has held that the right to life, including its procedural guarantees, shall be </w:t>
      </w:r>
      <w:r w:rsidRPr="00393E7A">
        <w:t>considered</w:t>
      </w:r>
      <w:r w:rsidRPr="00393E7A">
        <w:rPr>
          <w:lang w:val="en-GB"/>
        </w:rPr>
        <w:t xml:space="preserve"> as the supreme right from which no derogation is permitted even in time of public emergency which threatens the life of the nation (see, HRC, General Comment No. 6, cited in § </w:t>
      </w:r>
      <w:r w:rsidR="007269BF">
        <w:t>68</w:t>
      </w:r>
      <w:r w:rsidRPr="00393E7A">
        <w:rPr>
          <w:lang w:val="en-GB"/>
        </w:rPr>
        <w:t xml:space="preserve"> above, at § 1; HRC, </w:t>
      </w:r>
      <w:r w:rsidRPr="00393E7A">
        <w:rPr>
          <w:i/>
          <w:lang w:val="en-GB"/>
        </w:rPr>
        <w:t>Abubakar Amirov and Aïzan Amirova v. Russi</w:t>
      </w:r>
      <w:r w:rsidRPr="00393E7A">
        <w:rPr>
          <w:lang w:val="en-GB"/>
        </w:rPr>
        <w:t>a</w:t>
      </w:r>
      <w:r w:rsidRPr="00393E7A">
        <w:rPr>
          <w:i/>
          <w:lang w:val="en-GB"/>
        </w:rPr>
        <w:t>n Federation</w:t>
      </w:r>
      <w:r w:rsidRPr="00393E7A">
        <w:rPr>
          <w:lang w:val="en-GB"/>
        </w:rPr>
        <w:t xml:space="preserve">, communication no. 1447/2006, views of 22 April 2009, § 11.2, </w:t>
      </w:r>
      <w:r w:rsidRPr="00393E7A">
        <w:rPr>
          <w:bCs/>
          <w:lang w:val="en-GB"/>
        </w:rPr>
        <w:t>CCPR/C/95/D/1447/2006</w:t>
      </w:r>
      <w:r w:rsidRPr="00393E7A">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56" w:name="_Ref343611663"/>
      <w:bookmarkEnd w:id="55"/>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Panel appreciates the difficulties encountered by UNMIK during the first phase of its </w:t>
      </w:r>
      <w:r w:rsidRPr="00393E7A">
        <w:t>deployment</w:t>
      </w:r>
      <w:r w:rsidRPr="00393E7A">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w:t>
      </w:r>
      <w:r w:rsidRPr="00393E7A">
        <w:rPr>
          <w:lang w:val="en-GB"/>
        </w:rPr>
        <w:lastRenderedPageBreak/>
        <w:t xml:space="preserve">units of UNMIK Police. Such a system should also take account of the protection needs of victims and witnesses (see, </w:t>
      </w:r>
      <w:r w:rsidRPr="00393E7A">
        <w:rPr>
          <w:i/>
          <w:lang w:val="en-GB"/>
        </w:rPr>
        <w:t>mutatis mutandis</w:t>
      </w:r>
      <w:r w:rsidRPr="00393E7A">
        <w:rPr>
          <w:lang w:val="en-GB"/>
        </w:rPr>
        <w:t xml:space="preserve">, ECtHR, </w:t>
      </w:r>
      <w:r w:rsidRPr="00393E7A">
        <w:rPr>
          <w:i/>
          <w:lang w:val="en-GB"/>
        </w:rPr>
        <w:t>R.R. and Others v. Hungary</w:t>
      </w:r>
      <w:r w:rsidRPr="00393E7A">
        <w:rPr>
          <w:lang w:val="en-GB"/>
        </w:rPr>
        <w:t xml:space="preserve">, no. 19400/11, judgment of 4 December 2012, §§ 28-32), as well as to consider the special vulnerability of displaced persons in post-conflict situations (see ECtHR [GC], </w:t>
      </w:r>
      <w:r w:rsidRPr="00393E7A">
        <w:rPr>
          <w:i/>
          <w:lang w:val="en-GB"/>
        </w:rPr>
        <w:t xml:space="preserve">Sargsyan v. Azerbaijan, </w:t>
      </w:r>
      <w:r w:rsidRPr="00393E7A">
        <w:rPr>
          <w:lang w:val="en-GB"/>
        </w:rPr>
        <w:t xml:space="preserve">no. 40167/06, decision of 14 December 2011, § 145; and ECtHR [GC], </w:t>
      </w:r>
      <w:r w:rsidRPr="00393E7A">
        <w:rPr>
          <w:i/>
          <w:lang w:val="en-GB"/>
        </w:rPr>
        <w:t>Chiragov and Others v. Armenia</w:t>
      </w:r>
      <w:r w:rsidRPr="00393E7A">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D746BC">
        <w:fldChar w:fldCharType="begin"/>
      </w:r>
      <w:r w:rsidR="00D746BC">
        <w:instrText xml:space="preserve"> REF _Ref346123767 \r \h  \* MERGEFORMAT </w:instrText>
      </w:r>
      <w:r w:rsidR="00D746BC">
        <w:fldChar w:fldCharType="separate"/>
      </w:r>
      <w:r w:rsidR="002F62D4" w:rsidRPr="002F62D4">
        <w:rPr>
          <w:lang w:val="en-GB"/>
        </w:rPr>
        <w:t>19</w:t>
      </w:r>
      <w:r w:rsidR="00D746BC">
        <w:fldChar w:fldCharType="end"/>
      </w:r>
      <w:r w:rsidRPr="00393E7A">
        <w:rPr>
          <w:lang w:val="en-GB"/>
        </w:rPr>
        <w:t xml:space="preserve"> above).</w:t>
      </w:r>
      <w:bookmarkEnd w:id="56"/>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rStyle w:val="sb8d990e2"/>
          <w:lang w:val="en-GB"/>
        </w:rPr>
      </w:pPr>
      <w:bookmarkStart w:id="57" w:name="_Ref366163789"/>
      <w:r w:rsidRPr="00393E7A">
        <w:rPr>
          <w:rStyle w:val="sb8d990e2"/>
          <w:lang w:val="en-GB"/>
        </w:rPr>
        <w:t xml:space="preserve">The Panel </w:t>
      </w:r>
      <w:r w:rsidRPr="00393E7A">
        <w:t>further</w:t>
      </w:r>
      <w:r w:rsidRPr="00393E7A">
        <w:rPr>
          <w:rStyle w:val="sb8d990e2"/>
          <w:lang w:val="en-GB"/>
        </w:rPr>
        <w:t xml:space="preserve"> notes that its task is not to review relevant practices or alleged obstacles to the conduct of effective investigations </w:t>
      </w:r>
      <w:r w:rsidRPr="00393E7A">
        <w:rPr>
          <w:rStyle w:val="s6b621b36"/>
          <w:i/>
          <w:lang w:val="en-GB"/>
        </w:rPr>
        <w:t xml:space="preserve">in </w:t>
      </w:r>
      <w:r w:rsidRPr="00393E7A">
        <w:rPr>
          <w:rStyle w:val="wordhighlighted"/>
          <w:i/>
          <w:lang w:val="en-GB"/>
        </w:rPr>
        <w:t>abstracto</w:t>
      </w:r>
      <w:r w:rsidRPr="00393E7A">
        <w:rPr>
          <w:rStyle w:val="sb8d990e2"/>
          <w:lang w:val="en-GB"/>
        </w:rPr>
        <w:t>, but only in relation to their specific </w:t>
      </w:r>
      <w:r w:rsidRPr="00393E7A">
        <w:t>application</w:t>
      </w:r>
      <w:r w:rsidRPr="00393E7A">
        <w:rPr>
          <w:rStyle w:val="sb8d990e2"/>
          <w:lang w:val="en-GB"/>
        </w:rPr>
        <w:t xml:space="preserve"> to the particular circumstances of a situation subject of a complaint before it (see, ECtHR, </w:t>
      </w:r>
      <w:r w:rsidRPr="00393E7A">
        <w:rPr>
          <w:rStyle w:val="s6b621b36"/>
          <w:i/>
          <w:lang w:val="en-GB"/>
        </w:rPr>
        <w:t>Brogan and Others v. the United Kingdom</w:t>
      </w:r>
      <w:r w:rsidRPr="00393E7A">
        <w:rPr>
          <w:rStyle w:val="sb8d990e2"/>
          <w:lang w:val="en-GB"/>
        </w:rPr>
        <w:t xml:space="preserve">, </w:t>
      </w:r>
      <w:r w:rsidRPr="00393E7A">
        <w:rPr>
          <w:rStyle w:val="column01"/>
          <w:lang w:val="en-GB"/>
        </w:rPr>
        <w:t>judgment of</w:t>
      </w:r>
      <w:r w:rsidRPr="00393E7A">
        <w:rPr>
          <w:rStyle w:val="sb8d990e2"/>
          <w:lang w:val="en-GB"/>
        </w:rPr>
        <w:t xml:space="preserve"> 29 November 1988,</w:t>
      </w:r>
      <w:r w:rsidRPr="00393E7A">
        <w:rPr>
          <w:lang w:val="en-GB"/>
        </w:rPr>
        <w:t xml:space="preserve"> </w:t>
      </w:r>
      <w:r w:rsidRPr="00393E7A">
        <w:rPr>
          <w:rStyle w:val="sb8d990e2"/>
          <w:lang w:val="en-GB"/>
        </w:rPr>
        <w:t xml:space="preserve">§ 53, Series A no. 145-B). </w:t>
      </w:r>
      <w:r w:rsidRPr="00393E7A">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393E7A">
        <w:rPr>
          <w:rStyle w:val="sb8d990e2"/>
          <w:lang w:val="en-GB"/>
        </w:rPr>
        <w:t>For these reasons, the Panel considers that it will establish with regard to each case if all reasonable steps were taken to conduct an effective investigation as prescribed by Article 2,</w:t>
      </w:r>
      <w:r w:rsidRPr="00393E7A">
        <w:rPr>
          <w:lang w:val="en-GB"/>
        </w:rPr>
        <w:t xml:space="preserve"> </w:t>
      </w:r>
      <w:r w:rsidRPr="00393E7A">
        <w:rPr>
          <w:rStyle w:val="sb8d990e2"/>
          <w:lang w:val="en-GB"/>
        </w:rPr>
        <w:t>having regard to the realities of the investigative work in Kosovo.</w:t>
      </w:r>
      <w:bookmarkEnd w:id="57"/>
    </w:p>
    <w:p w:rsidR="003E3F85" w:rsidRPr="00393E7A" w:rsidRDefault="003E3F85" w:rsidP="003E3F85">
      <w:pPr>
        <w:pStyle w:val="ListParagraph"/>
        <w:rPr>
          <w:rStyle w:val="sb8d990e2"/>
          <w:lang w:val="en-GB" w:eastAsia="en-US"/>
        </w:rPr>
      </w:pPr>
    </w:p>
    <w:p w:rsidR="003E3F85" w:rsidRPr="00393E7A" w:rsidRDefault="003E3F85" w:rsidP="00B41BE6">
      <w:pPr>
        <w:numPr>
          <w:ilvl w:val="0"/>
          <w:numId w:val="2"/>
        </w:numPr>
        <w:tabs>
          <w:tab w:val="left" w:pos="709"/>
        </w:tabs>
        <w:suppressAutoHyphens/>
        <w:autoSpaceDE w:val="0"/>
        <w:jc w:val="both"/>
        <w:rPr>
          <w:lang w:eastAsia="nl-NL"/>
        </w:rPr>
      </w:pPr>
      <w:r w:rsidRPr="00393E7A">
        <w:t xml:space="preserve">Lastly, in response to the SRSG’s objection that Article 2 must be interpreted in a way which </w:t>
      </w:r>
      <w:r w:rsidRPr="00393E7A">
        <w:rPr>
          <w:lang w:val="en-GB"/>
        </w:rPr>
        <w:t>does</w:t>
      </w:r>
      <w:r w:rsidRPr="00393E7A">
        <w:t xml:space="preserve"> not </w:t>
      </w:r>
      <w:r w:rsidRPr="00393E7A">
        <w:rPr>
          <w:lang w:val="en-GB"/>
        </w:rPr>
        <w:t>impose</w:t>
      </w:r>
      <w:r w:rsidRPr="00393E7A">
        <w:t xml:space="preserve"> an impossible or disproportionate burden on the authorities, e</w:t>
      </w:r>
      <w:r w:rsidR="00622236" w:rsidRPr="00393E7A">
        <w:t>ither in the context of policin</w:t>
      </w:r>
      <w:r w:rsidRPr="00393E7A">
        <w:rPr>
          <w:lang w:val="en-GB"/>
        </w:rPr>
        <w:t>g</w:t>
      </w:r>
      <w:r w:rsidRPr="00393E7A">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393E7A">
        <w:rPr>
          <w:i/>
        </w:rPr>
        <w:t>Palić v. Bosnia and Herzegovina,</w:t>
      </w:r>
      <w:r w:rsidRPr="00393E7A">
        <w:t xml:space="preserve"> cited in § </w:t>
      </w:r>
      <w:r w:rsidR="00D746BC">
        <w:fldChar w:fldCharType="begin"/>
      </w:r>
      <w:r w:rsidR="00D746BC">
        <w:instrText xml:space="preserve"> REF _Ref366239979 \r \h  \* MERGEFORMAT </w:instrText>
      </w:r>
      <w:r w:rsidR="00D746BC">
        <w:fldChar w:fldCharType="separate"/>
      </w:r>
      <w:r w:rsidR="002F62D4">
        <w:t>72</w:t>
      </w:r>
      <w:r w:rsidR="00D746BC">
        <w:fldChar w:fldCharType="end"/>
      </w:r>
      <w:r w:rsidRPr="00393E7A">
        <w:t xml:space="preserve"> above, at § 70; </w:t>
      </w:r>
      <w:r w:rsidR="00B41BE6" w:rsidRPr="00393E7A">
        <w:t xml:space="preserve">ECtHR, </w:t>
      </w:r>
      <w:r w:rsidRPr="00393E7A">
        <w:rPr>
          <w:i/>
        </w:rPr>
        <w:t>Brecknell v. The United Kingdom,</w:t>
      </w:r>
      <w:r w:rsidRPr="00393E7A">
        <w:t xml:space="preserve"> no. 32457/04, judgment of 27 November 2007, § 62).</w:t>
      </w:r>
    </w:p>
    <w:p w:rsidR="00CE4484" w:rsidRPr="00393E7A" w:rsidRDefault="00CE4484" w:rsidP="00CE4484">
      <w:pPr>
        <w:pStyle w:val="ListParagraph"/>
        <w:rPr>
          <w:lang w:eastAsia="nl-NL"/>
        </w:rPr>
      </w:pPr>
    </w:p>
    <w:p w:rsidR="00CE4484" w:rsidRPr="00393E7A" w:rsidRDefault="00CE4484" w:rsidP="00CE4484">
      <w:pPr>
        <w:numPr>
          <w:ilvl w:val="0"/>
          <w:numId w:val="2"/>
        </w:numPr>
        <w:contextualSpacing/>
        <w:jc w:val="both"/>
        <w:rPr>
          <w:rStyle w:val="sb8d990e2"/>
          <w:color w:val="000000" w:themeColor="text1"/>
          <w:lang w:val="en-GB"/>
        </w:rPr>
      </w:pPr>
      <w:bookmarkStart w:id="58" w:name="_Ref403834230"/>
      <w:r w:rsidRPr="00393E7A">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393E7A">
        <w:rPr>
          <w:rStyle w:val="sb8d990e2"/>
          <w:i/>
          <w:color w:val="000000" w:themeColor="text1"/>
          <w:lang w:val="en-GB"/>
        </w:rPr>
        <w:t>Aslakhanova and Others v. Russia</w:t>
      </w:r>
      <w:r w:rsidRPr="00393E7A">
        <w:rPr>
          <w:rStyle w:val="sb8d990e2"/>
          <w:color w:val="000000" w:themeColor="text1"/>
          <w:lang w:val="en-GB"/>
        </w:rPr>
        <w:t xml:space="preserve">, cited in § </w:t>
      </w:r>
      <w:r w:rsidR="00D746BC">
        <w:fldChar w:fldCharType="begin"/>
      </w:r>
      <w:r w:rsidR="00D746BC">
        <w:instrText xml:space="preserve"> REF _Ref373950745 \r \h  \* MERGEFORMAT </w:instrText>
      </w:r>
      <w:r w:rsidR="00D746BC">
        <w:fldChar w:fldCharType="separate"/>
      </w:r>
      <w:r w:rsidR="002F62D4" w:rsidRPr="002F62D4">
        <w:rPr>
          <w:rStyle w:val="sb8d990e2"/>
          <w:color w:val="000000" w:themeColor="text1"/>
          <w:lang w:val="en-GB"/>
        </w:rPr>
        <w:t>75</w:t>
      </w:r>
      <w:r w:rsidR="00D746BC">
        <w:fldChar w:fldCharType="end"/>
      </w:r>
      <w:r w:rsidRPr="00393E7A">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58"/>
    </w:p>
    <w:p w:rsidR="00CE4484" w:rsidRPr="00393E7A" w:rsidRDefault="00CE4484" w:rsidP="00CE4484">
      <w:pPr>
        <w:tabs>
          <w:tab w:val="left" w:pos="709"/>
        </w:tabs>
        <w:suppressAutoHyphens/>
        <w:autoSpaceDE w:val="0"/>
        <w:ind w:left="360"/>
        <w:jc w:val="both"/>
        <w:rPr>
          <w:lang w:eastAsia="nl-NL"/>
        </w:rPr>
      </w:pPr>
    </w:p>
    <w:p w:rsidR="003E3F85" w:rsidRPr="00393E7A" w:rsidRDefault="003E3F85" w:rsidP="003E3F85">
      <w:pPr>
        <w:pStyle w:val="ListParagraph"/>
        <w:numPr>
          <w:ilvl w:val="0"/>
          <w:numId w:val="7"/>
        </w:numPr>
        <w:contextualSpacing/>
        <w:jc w:val="both"/>
        <w:rPr>
          <w:i/>
          <w:lang w:val="en-GB"/>
        </w:rPr>
      </w:pPr>
      <w:r w:rsidRPr="00393E7A">
        <w:rPr>
          <w:i/>
          <w:lang w:val="en-GB"/>
        </w:rPr>
        <w:lastRenderedPageBreak/>
        <w:t>Compliance with Article 2 in the present case</w:t>
      </w:r>
    </w:p>
    <w:p w:rsidR="001C43C1" w:rsidRPr="001C43C1" w:rsidRDefault="001C43C1" w:rsidP="001C43C1">
      <w:pPr>
        <w:tabs>
          <w:tab w:val="left" w:pos="709"/>
        </w:tabs>
        <w:suppressAutoHyphens/>
        <w:autoSpaceDE w:val="0"/>
        <w:jc w:val="both"/>
        <w:rPr>
          <w:lang w:eastAsia="nl-NL"/>
        </w:rPr>
      </w:pPr>
    </w:p>
    <w:p w:rsidR="001C43C1" w:rsidRPr="007269BF" w:rsidRDefault="001C43C1" w:rsidP="001C43C1">
      <w:pPr>
        <w:pStyle w:val="ListParagraph"/>
        <w:numPr>
          <w:ilvl w:val="0"/>
          <w:numId w:val="2"/>
        </w:numPr>
        <w:suppressAutoHyphens w:val="0"/>
        <w:jc w:val="both"/>
        <w:rPr>
          <w:lang w:eastAsia="nl-NL"/>
        </w:rPr>
      </w:pPr>
      <w:r w:rsidRPr="00D60567">
        <w:rPr>
          <w:bCs/>
          <w:lang w:val="en-GB"/>
        </w:rPr>
        <w:t>With respect to the present case, the</w:t>
      </w:r>
      <w:r w:rsidRPr="00D60567">
        <w:rPr>
          <w:lang w:val="en-GB"/>
        </w:rPr>
        <w:t xml:space="preserve"> Panel notes that there were obvious shortcomings in the </w:t>
      </w:r>
      <w:r w:rsidRPr="007269BF">
        <w:rPr>
          <w:lang w:val="en-GB"/>
        </w:rPr>
        <w:t xml:space="preserve">conduct of the investigation from its </w:t>
      </w:r>
      <w:r w:rsidRPr="007269BF">
        <w:rPr>
          <w:lang w:val="en-GB" w:eastAsia="en-GB"/>
        </w:rPr>
        <w:t>commencement</w:t>
      </w:r>
      <w:r w:rsidRPr="007269BF">
        <w:rPr>
          <w:lang w:val="en-GB"/>
        </w:rPr>
        <w:t xml:space="preserve">. However, in light of the considerations developed above concerning its limited temporal jurisdiction (see § </w:t>
      </w:r>
      <w:r w:rsidR="007269BF" w:rsidRPr="007269BF">
        <w:t>44</w:t>
      </w:r>
      <w:r w:rsidRPr="007269BF">
        <w:t xml:space="preserve"> </w:t>
      </w:r>
      <w:r w:rsidRPr="007269BF">
        <w:rPr>
          <w:lang w:val="en-GB"/>
        </w:rPr>
        <w:t xml:space="preserve">above), the Panel recalls that it is competent </w:t>
      </w:r>
      <w:r w:rsidRPr="007269BF">
        <w:rPr>
          <w:i/>
          <w:lang w:val="en-GB"/>
        </w:rPr>
        <w:t>ratione temporis</w:t>
      </w:r>
      <w:r w:rsidRPr="007269BF">
        <w:rPr>
          <w:lang w:val="en-GB"/>
        </w:rPr>
        <w:t xml:space="preserve"> to evaluate the compliance of the investigations with Article 2 of the ECHR only for the period after 23 April 2005, while taking into consideration the state of the cases at that date (see ECtHR, </w:t>
      </w:r>
      <w:r w:rsidRPr="007269BF">
        <w:rPr>
          <w:i/>
        </w:rPr>
        <w:t>Palić v. Bosnia and Herzegovina,</w:t>
      </w:r>
      <w:r w:rsidRPr="007269BF">
        <w:t xml:space="preserve"> cited in § </w:t>
      </w:r>
      <w:r w:rsidR="007269BF" w:rsidRPr="007269BF">
        <w:t>72</w:t>
      </w:r>
      <w:r w:rsidRPr="007269BF">
        <w:t xml:space="preserve"> above, at § 70</w:t>
      </w:r>
      <w:r w:rsidRPr="007269BF">
        <w:rPr>
          <w:lang w:val="en-GB"/>
        </w:rPr>
        <w:t xml:space="preserve">). The period under review ends on 9 December 2008, with EULEX taking over responsibility in the area of administration of justice (see § </w:t>
      </w:r>
      <w:r w:rsidRPr="007269BF">
        <w:t>21</w:t>
      </w:r>
      <w:r w:rsidRPr="007269BF">
        <w:rPr>
          <w:lang w:val="en-GB"/>
        </w:rPr>
        <w:t xml:space="preserve"> above).</w:t>
      </w:r>
    </w:p>
    <w:p w:rsidR="001C43C1" w:rsidRPr="007269BF" w:rsidRDefault="001C43C1" w:rsidP="001C43C1">
      <w:pPr>
        <w:pStyle w:val="ListParagraph"/>
        <w:suppressAutoHyphens w:val="0"/>
        <w:ind w:left="360"/>
        <w:jc w:val="both"/>
        <w:rPr>
          <w:lang w:eastAsia="nl-NL"/>
        </w:rPr>
      </w:pPr>
    </w:p>
    <w:p w:rsidR="00C07C34" w:rsidRPr="007269BF" w:rsidRDefault="00C07C34" w:rsidP="001C43C1">
      <w:pPr>
        <w:pStyle w:val="ListParagraph"/>
        <w:numPr>
          <w:ilvl w:val="0"/>
          <w:numId w:val="2"/>
        </w:numPr>
        <w:suppressAutoHyphens w:val="0"/>
        <w:jc w:val="both"/>
        <w:rPr>
          <w:lang w:eastAsia="nl-NL"/>
        </w:rPr>
      </w:pPr>
      <w:r w:rsidRPr="007269BF">
        <w:rPr>
          <w:lang w:eastAsia="nl-NL"/>
        </w:rPr>
        <w:t>B</w:t>
      </w:r>
      <w:r w:rsidR="001C43C1" w:rsidRPr="007269BF">
        <w:rPr>
          <w:lang w:eastAsia="nl-NL"/>
        </w:rPr>
        <w:t xml:space="preserve">ased on the documents in the file, UNMIK was informed of </w:t>
      </w:r>
      <w:r w:rsidR="001C43C1" w:rsidRPr="007269BF">
        <w:rPr>
          <w:lang w:val="en-GB"/>
        </w:rPr>
        <w:t xml:space="preserve">Mr </w:t>
      </w:r>
      <w:proofErr w:type="spellStart"/>
      <w:r w:rsidR="001C43C1" w:rsidRPr="007269BF">
        <w:rPr>
          <w:lang w:val="en-GB"/>
        </w:rPr>
        <w:t>Ðorđe</w:t>
      </w:r>
      <w:proofErr w:type="spellEnd"/>
      <w:r w:rsidR="001C43C1" w:rsidRPr="007269BF">
        <w:rPr>
          <w:lang w:val="en-GB"/>
        </w:rPr>
        <w:t xml:space="preserve"> </w:t>
      </w:r>
      <w:proofErr w:type="spellStart"/>
      <w:r w:rsidR="001C43C1" w:rsidRPr="007269BF">
        <w:rPr>
          <w:lang w:val="en-GB"/>
        </w:rPr>
        <w:t>Kuzmanović’s</w:t>
      </w:r>
      <w:proofErr w:type="spellEnd"/>
      <w:r w:rsidR="001C43C1" w:rsidRPr="007269BF">
        <w:rPr>
          <w:lang w:val="en-GB"/>
        </w:rPr>
        <w:t xml:space="preserve"> abduction at the latest on 4 September 1999, when his sister called UNMIK Police</w:t>
      </w:r>
      <w:r w:rsidR="007269BF" w:rsidRPr="007269BF">
        <w:rPr>
          <w:lang w:val="en-GB"/>
        </w:rPr>
        <w:t xml:space="preserve"> for the first time</w:t>
      </w:r>
      <w:r w:rsidR="001C43C1" w:rsidRPr="007269BF">
        <w:rPr>
          <w:lang w:val="en-GB"/>
        </w:rPr>
        <w:t xml:space="preserve"> to inform them about the matter. It is documented in the file that she </w:t>
      </w:r>
      <w:r w:rsidR="00541709" w:rsidRPr="007269BF">
        <w:rPr>
          <w:lang w:val="en-GB"/>
        </w:rPr>
        <w:t xml:space="preserve">made a second telephone call on 21 September </w:t>
      </w:r>
      <w:r w:rsidR="001C43C1" w:rsidRPr="007269BF">
        <w:rPr>
          <w:lang w:val="en-GB"/>
        </w:rPr>
        <w:t>1999.</w:t>
      </w:r>
      <w:r w:rsidRPr="007269BF">
        <w:rPr>
          <w:lang w:val="en-GB"/>
        </w:rPr>
        <w:t xml:space="preserve"> While expressing its concern that</w:t>
      </w:r>
      <w:r w:rsidR="001C43C1" w:rsidRPr="007269BF">
        <w:rPr>
          <w:lang w:val="en-GB"/>
        </w:rPr>
        <w:t xml:space="preserve"> only the first pages of the</w:t>
      </w:r>
      <w:r w:rsidR="00541709" w:rsidRPr="007269BF">
        <w:rPr>
          <w:lang w:val="en-GB"/>
        </w:rPr>
        <w:t xml:space="preserve"> </w:t>
      </w:r>
      <w:r w:rsidR="00541709" w:rsidRPr="007269BF">
        <w:rPr>
          <w:bCs/>
          <w:lang w:val="en-GB"/>
        </w:rPr>
        <w:t xml:space="preserve">“Police Enquiry </w:t>
      </w:r>
      <w:proofErr w:type="spellStart"/>
      <w:r w:rsidR="00541709" w:rsidRPr="007269BF">
        <w:rPr>
          <w:bCs/>
          <w:lang w:val="en-GB"/>
        </w:rPr>
        <w:t>Proforma</w:t>
      </w:r>
      <w:proofErr w:type="spellEnd"/>
      <w:r w:rsidR="00541709" w:rsidRPr="007269BF">
        <w:rPr>
          <w:bCs/>
          <w:lang w:val="en-GB"/>
        </w:rPr>
        <w:t xml:space="preserve">” </w:t>
      </w:r>
      <w:r w:rsidRPr="007269BF">
        <w:rPr>
          <w:lang w:val="en-GB"/>
        </w:rPr>
        <w:t>documenting these</w:t>
      </w:r>
      <w:r w:rsidR="001C43C1" w:rsidRPr="007269BF">
        <w:rPr>
          <w:lang w:val="en-GB"/>
        </w:rPr>
        <w:t xml:space="preserve"> telephone calls can be found in the file, the Panel</w:t>
      </w:r>
      <w:r w:rsidRPr="007269BF">
        <w:rPr>
          <w:lang w:val="en-GB"/>
        </w:rPr>
        <w:t xml:space="preserve"> notes that, </w:t>
      </w:r>
      <w:r w:rsidR="00BA65B2" w:rsidRPr="007269BF">
        <w:rPr>
          <w:lang w:val="en-GB"/>
        </w:rPr>
        <w:t>due to the incompleteness of this part of the file,</w:t>
      </w:r>
      <w:r w:rsidRPr="007269BF">
        <w:rPr>
          <w:lang w:val="en-GB"/>
        </w:rPr>
        <w:t xml:space="preserve"> it</w:t>
      </w:r>
      <w:r w:rsidR="001C43C1" w:rsidRPr="007269BF">
        <w:rPr>
          <w:lang w:val="en-GB"/>
        </w:rPr>
        <w:t xml:space="preserve"> ca</w:t>
      </w:r>
      <w:r w:rsidR="007269BF" w:rsidRPr="007269BF">
        <w:rPr>
          <w:lang w:val="en-GB"/>
        </w:rPr>
        <w:t>nnot establish with certainty whether</w:t>
      </w:r>
      <w:r w:rsidR="001C43C1" w:rsidRPr="007269BF">
        <w:rPr>
          <w:lang w:val="en-GB"/>
        </w:rPr>
        <w:t xml:space="preserve"> Mr </w:t>
      </w:r>
      <w:proofErr w:type="spellStart"/>
      <w:r w:rsidR="001C43C1" w:rsidRPr="007269BF">
        <w:rPr>
          <w:lang w:val="en-GB"/>
        </w:rPr>
        <w:t>Ðorđe</w:t>
      </w:r>
      <w:proofErr w:type="spellEnd"/>
      <w:r w:rsidR="001C43C1" w:rsidRPr="007269BF">
        <w:rPr>
          <w:lang w:val="en-GB"/>
        </w:rPr>
        <w:t xml:space="preserve"> </w:t>
      </w:r>
      <w:proofErr w:type="spellStart"/>
      <w:r w:rsidR="001C43C1" w:rsidRPr="007269BF">
        <w:rPr>
          <w:lang w:val="en-GB"/>
        </w:rPr>
        <w:t>Kuzmanović’s</w:t>
      </w:r>
      <w:proofErr w:type="spellEnd"/>
      <w:r w:rsidR="001C43C1" w:rsidRPr="007269BF">
        <w:rPr>
          <w:lang w:val="en-GB"/>
        </w:rPr>
        <w:t xml:space="preserve"> sister provided UNMIK Police at this time with information concerning the alleged kidnapper</w:t>
      </w:r>
      <w:r w:rsidRPr="007269BF">
        <w:rPr>
          <w:lang w:val="en-GB"/>
        </w:rPr>
        <w:t>s. The Panel not</w:t>
      </w:r>
      <w:r w:rsidR="007269BF" w:rsidRPr="007269BF">
        <w:rPr>
          <w:lang w:val="en-GB"/>
        </w:rPr>
        <w:t>es that it is however stated o</w:t>
      </w:r>
      <w:r w:rsidRPr="007269BF">
        <w:rPr>
          <w:lang w:val="en-GB"/>
        </w:rPr>
        <w:t xml:space="preserve">n the first page of the </w:t>
      </w:r>
      <w:r w:rsidRPr="007269BF">
        <w:rPr>
          <w:bCs/>
          <w:lang w:val="en-GB"/>
        </w:rPr>
        <w:t xml:space="preserve">“Police Enquiry </w:t>
      </w:r>
      <w:proofErr w:type="spellStart"/>
      <w:r w:rsidRPr="007269BF">
        <w:rPr>
          <w:bCs/>
          <w:lang w:val="en-GB"/>
        </w:rPr>
        <w:t>Proforma</w:t>
      </w:r>
      <w:proofErr w:type="spellEnd"/>
      <w:r w:rsidRPr="007269BF">
        <w:rPr>
          <w:bCs/>
          <w:lang w:val="en-GB"/>
        </w:rPr>
        <w:t>”</w:t>
      </w:r>
      <w:r w:rsidR="007269BF" w:rsidRPr="007269BF">
        <w:rPr>
          <w:bCs/>
          <w:lang w:val="en-GB"/>
        </w:rPr>
        <w:t xml:space="preserve">, dated 4 September 1999, </w:t>
      </w:r>
      <w:r w:rsidRPr="007269BF">
        <w:rPr>
          <w:bCs/>
          <w:lang w:val="en-GB"/>
        </w:rPr>
        <w:t xml:space="preserve">that </w:t>
      </w:r>
      <w:r w:rsidRPr="007269BF">
        <w:rPr>
          <w:lang w:val="en-GB"/>
        </w:rPr>
        <w:t xml:space="preserve">Mr </w:t>
      </w:r>
      <w:proofErr w:type="spellStart"/>
      <w:r w:rsidRPr="007269BF">
        <w:rPr>
          <w:lang w:val="en-GB"/>
        </w:rPr>
        <w:t>Ðorđe</w:t>
      </w:r>
      <w:proofErr w:type="spellEnd"/>
      <w:r w:rsidRPr="007269BF">
        <w:rPr>
          <w:lang w:val="en-GB"/>
        </w:rPr>
        <w:t xml:space="preserve"> </w:t>
      </w:r>
      <w:proofErr w:type="spellStart"/>
      <w:r w:rsidRPr="007269BF">
        <w:rPr>
          <w:lang w:val="en-GB"/>
        </w:rPr>
        <w:t>Kuzmanović’s</w:t>
      </w:r>
      <w:proofErr w:type="spellEnd"/>
      <w:r w:rsidRPr="007269BF">
        <w:rPr>
          <w:lang w:val="en-GB"/>
        </w:rPr>
        <w:t xml:space="preserve"> mother </w:t>
      </w:r>
      <w:r w:rsidR="00BA65B2" w:rsidRPr="007269BF">
        <w:rPr>
          <w:lang w:val="en-GB"/>
        </w:rPr>
        <w:t>had witnessed</w:t>
      </w:r>
      <w:r w:rsidRPr="007269BF">
        <w:rPr>
          <w:lang w:val="en-GB"/>
        </w:rPr>
        <w:t xml:space="preserve"> the abduction. The Panel also notes th</w:t>
      </w:r>
      <w:r w:rsidR="007269BF" w:rsidRPr="007269BF">
        <w:rPr>
          <w:lang w:val="en-GB"/>
        </w:rPr>
        <w:t xml:space="preserve">at the only action taken by </w:t>
      </w:r>
      <w:r w:rsidRPr="007269BF">
        <w:rPr>
          <w:lang w:val="en-GB"/>
        </w:rPr>
        <w:t>UNMIK Police following the report w</w:t>
      </w:r>
      <w:r w:rsidR="007269BF" w:rsidRPr="007269BF">
        <w:rPr>
          <w:lang w:val="en-GB"/>
        </w:rPr>
        <w:t xml:space="preserve">as </w:t>
      </w:r>
      <w:r w:rsidRPr="007269BF">
        <w:rPr>
          <w:lang w:val="en-GB"/>
        </w:rPr>
        <w:t xml:space="preserve">opening a missing person case concerning Mr </w:t>
      </w:r>
      <w:proofErr w:type="spellStart"/>
      <w:r w:rsidRPr="007269BF">
        <w:rPr>
          <w:lang w:val="en-GB"/>
        </w:rPr>
        <w:t>Ðorđe</w:t>
      </w:r>
      <w:proofErr w:type="spellEnd"/>
      <w:r w:rsidRPr="007269BF">
        <w:rPr>
          <w:lang w:val="en-GB"/>
        </w:rPr>
        <w:t xml:space="preserve"> </w:t>
      </w:r>
      <w:proofErr w:type="spellStart"/>
      <w:r w:rsidRPr="007269BF">
        <w:rPr>
          <w:lang w:val="en-GB"/>
        </w:rPr>
        <w:t>Kuzmanović</w:t>
      </w:r>
      <w:proofErr w:type="spellEnd"/>
      <w:r w:rsidRPr="007269BF">
        <w:rPr>
          <w:lang w:val="en-GB"/>
        </w:rPr>
        <w:t xml:space="preserve">.  There is no document in the file showing that UNMIK tried to take a statement from Mr </w:t>
      </w:r>
      <w:proofErr w:type="spellStart"/>
      <w:r w:rsidRPr="007269BF">
        <w:rPr>
          <w:lang w:val="en-GB"/>
        </w:rPr>
        <w:t>Ðorđe</w:t>
      </w:r>
      <w:proofErr w:type="spellEnd"/>
      <w:r w:rsidRPr="007269BF">
        <w:rPr>
          <w:lang w:val="en-GB"/>
        </w:rPr>
        <w:t xml:space="preserve"> </w:t>
      </w:r>
      <w:proofErr w:type="spellStart"/>
      <w:r w:rsidRPr="007269BF">
        <w:rPr>
          <w:lang w:val="en-GB"/>
        </w:rPr>
        <w:t>Kuzmanović’s</w:t>
      </w:r>
      <w:proofErr w:type="spellEnd"/>
      <w:r w:rsidR="00CA55BA" w:rsidRPr="007269BF">
        <w:rPr>
          <w:lang w:val="en-GB"/>
        </w:rPr>
        <w:t xml:space="preserve"> sister and</w:t>
      </w:r>
      <w:r w:rsidRPr="007269BF">
        <w:rPr>
          <w:lang w:val="en-GB"/>
        </w:rPr>
        <w:t xml:space="preserve"> mother, notwithstanding the fact that the latter had been indicated as an eye-witness to the abduction</w:t>
      </w:r>
      <w:r w:rsidR="00CA55BA" w:rsidRPr="007269BF">
        <w:rPr>
          <w:lang w:val="en-GB"/>
        </w:rPr>
        <w:t xml:space="preserve"> (see § 31 above)</w:t>
      </w:r>
      <w:r w:rsidRPr="007269BF">
        <w:rPr>
          <w:lang w:val="en-GB"/>
        </w:rPr>
        <w:t xml:space="preserve">. </w:t>
      </w:r>
    </w:p>
    <w:p w:rsidR="00C07C34" w:rsidRPr="007269BF" w:rsidRDefault="00C07C34" w:rsidP="00C07C34">
      <w:pPr>
        <w:pStyle w:val="ListParagraph"/>
        <w:suppressAutoHyphens w:val="0"/>
        <w:ind w:left="360"/>
        <w:jc w:val="both"/>
        <w:rPr>
          <w:lang w:eastAsia="nl-NL"/>
        </w:rPr>
      </w:pPr>
    </w:p>
    <w:p w:rsidR="00124EA9" w:rsidRPr="007269BF" w:rsidRDefault="00CA55BA" w:rsidP="00124EA9">
      <w:pPr>
        <w:pStyle w:val="ListParagraph"/>
        <w:numPr>
          <w:ilvl w:val="0"/>
          <w:numId w:val="2"/>
        </w:numPr>
        <w:tabs>
          <w:tab w:val="left" w:pos="709"/>
        </w:tabs>
        <w:autoSpaceDE w:val="0"/>
        <w:jc w:val="both"/>
        <w:rPr>
          <w:lang w:eastAsia="nl-NL"/>
        </w:rPr>
      </w:pPr>
      <w:r w:rsidRPr="007269BF">
        <w:rPr>
          <w:lang w:val="en-GB"/>
        </w:rPr>
        <w:t>The investigative file shows that</w:t>
      </w:r>
      <w:r w:rsidR="00124EA9" w:rsidRPr="007269BF">
        <w:rPr>
          <w:lang w:val="en-GB"/>
        </w:rPr>
        <w:t xml:space="preserve"> in February 2000 the MPU wrote a memo</w:t>
      </w:r>
      <w:r w:rsidR="007269BF" w:rsidRPr="007269BF">
        <w:rPr>
          <w:lang w:val="en-GB"/>
        </w:rPr>
        <w:t>randum to several offices of</w:t>
      </w:r>
      <w:r w:rsidR="00124EA9" w:rsidRPr="007269BF">
        <w:rPr>
          <w:lang w:val="en-GB"/>
        </w:rPr>
        <w:t xml:space="preserve"> UNMIK Police and UNMIK border authorities throughout Kosovo to enquir</w:t>
      </w:r>
      <w:r w:rsidR="007269BF" w:rsidRPr="007269BF">
        <w:rPr>
          <w:lang w:val="en-GB"/>
        </w:rPr>
        <w:t>e if they had any information about</w:t>
      </w:r>
      <w:r w:rsidR="00124EA9" w:rsidRPr="007269BF">
        <w:rPr>
          <w:lang w:val="en-GB"/>
        </w:rPr>
        <w:t xml:space="preserve"> the case of Mr </w:t>
      </w:r>
      <w:proofErr w:type="spellStart"/>
      <w:r w:rsidR="00124EA9" w:rsidRPr="007269BF">
        <w:rPr>
          <w:lang w:val="en-GB"/>
        </w:rPr>
        <w:t>Ðorđe</w:t>
      </w:r>
      <w:proofErr w:type="spellEnd"/>
      <w:r w:rsidR="00124EA9" w:rsidRPr="007269BF">
        <w:rPr>
          <w:lang w:val="en-GB"/>
        </w:rPr>
        <w:t xml:space="preserve"> </w:t>
      </w:r>
      <w:proofErr w:type="spellStart"/>
      <w:r w:rsidR="00124EA9" w:rsidRPr="007269BF">
        <w:rPr>
          <w:lang w:val="en-GB"/>
        </w:rPr>
        <w:t>Kuzmanović</w:t>
      </w:r>
      <w:proofErr w:type="spellEnd"/>
      <w:r w:rsidR="00124EA9" w:rsidRPr="007269BF">
        <w:rPr>
          <w:lang w:val="en-GB"/>
        </w:rPr>
        <w:t xml:space="preserve">. In March 2000, the MPU received a negative response from three </w:t>
      </w:r>
      <w:r w:rsidR="00875732" w:rsidRPr="007269BF">
        <w:rPr>
          <w:lang w:val="en-GB"/>
        </w:rPr>
        <w:t xml:space="preserve">of </w:t>
      </w:r>
      <w:r w:rsidR="00124EA9" w:rsidRPr="007269BF">
        <w:rPr>
          <w:lang w:val="en-GB"/>
        </w:rPr>
        <w:t>UNMIK Police offices</w:t>
      </w:r>
      <w:r w:rsidR="00875732" w:rsidRPr="007269BF">
        <w:rPr>
          <w:lang w:val="en-GB"/>
        </w:rPr>
        <w:t xml:space="preserve"> contacted</w:t>
      </w:r>
      <w:r w:rsidR="00124EA9" w:rsidRPr="007269BF">
        <w:rPr>
          <w:lang w:val="en-GB"/>
        </w:rPr>
        <w:t xml:space="preserve"> (see § 33 above). Thereafter, the only documented actions undertaken by the MPU relate to inputting the ante-mortem information concerning Mr </w:t>
      </w:r>
      <w:proofErr w:type="spellStart"/>
      <w:r w:rsidR="00124EA9" w:rsidRPr="007269BF">
        <w:rPr>
          <w:lang w:val="en-GB"/>
        </w:rPr>
        <w:t>Ðorđe</w:t>
      </w:r>
      <w:proofErr w:type="spellEnd"/>
      <w:r w:rsidR="00124EA9" w:rsidRPr="007269BF">
        <w:rPr>
          <w:lang w:val="en-GB"/>
        </w:rPr>
        <w:t xml:space="preserve"> </w:t>
      </w:r>
      <w:proofErr w:type="spellStart"/>
      <w:r w:rsidR="00124EA9" w:rsidRPr="007269BF">
        <w:rPr>
          <w:lang w:val="en-GB"/>
        </w:rPr>
        <w:t>Kuzmanović</w:t>
      </w:r>
      <w:proofErr w:type="spellEnd"/>
      <w:r w:rsidR="00124EA9" w:rsidRPr="007269BF">
        <w:rPr>
          <w:lang w:val="en-GB"/>
        </w:rPr>
        <w:t>, mainly gathered through the ICRC, in</w:t>
      </w:r>
      <w:r w:rsidR="007269BF" w:rsidRPr="007269BF">
        <w:rPr>
          <w:lang w:val="en-GB"/>
        </w:rPr>
        <w:t xml:space="preserve"> to</w:t>
      </w:r>
      <w:r w:rsidR="00124EA9" w:rsidRPr="007269BF">
        <w:rPr>
          <w:lang w:val="en-GB"/>
        </w:rPr>
        <w:t xml:space="preserve"> the MPU database </w:t>
      </w:r>
      <w:r w:rsidR="00D5357B" w:rsidRPr="007269BF">
        <w:rPr>
          <w:lang w:val="en-GB"/>
        </w:rPr>
        <w:t xml:space="preserve"> between June 2000 and July 2003 </w:t>
      </w:r>
      <w:r w:rsidR="00124EA9" w:rsidRPr="007269BF">
        <w:rPr>
          <w:lang w:val="en-GB"/>
        </w:rPr>
        <w:t>(see § 33 above).</w:t>
      </w:r>
    </w:p>
    <w:p w:rsidR="00124EA9" w:rsidRPr="007269BF" w:rsidRDefault="00124EA9" w:rsidP="00D5357B">
      <w:pPr>
        <w:tabs>
          <w:tab w:val="left" w:pos="709"/>
        </w:tabs>
        <w:autoSpaceDE w:val="0"/>
        <w:jc w:val="both"/>
        <w:rPr>
          <w:lang w:eastAsia="nl-NL"/>
        </w:rPr>
      </w:pPr>
    </w:p>
    <w:p w:rsidR="002209BE" w:rsidRPr="00AC35AF" w:rsidRDefault="003E3F85" w:rsidP="00875732">
      <w:pPr>
        <w:numPr>
          <w:ilvl w:val="0"/>
          <w:numId w:val="2"/>
        </w:numPr>
        <w:tabs>
          <w:tab w:val="left" w:pos="709"/>
        </w:tabs>
        <w:suppressAutoHyphens/>
        <w:autoSpaceDE w:val="0"/>
        <w:jc w:val="both"/>
        <w:rPr>
          <w:bCs/>
          <w:i/>
          <w:lang w:val="en-GB"/>
        </w:rPr>
      </w:pPr>
      <w:r w:rsidRPr="007269BF">
        <w:t>The Pan</w:t>
      </w:r>
      <w:r w:rsidR="002948A6" w:rsidRPr="007269BF">
        <w:t xml:space="preserve">el agrees </w:t>
      </w:r>
      <w:r w:rsidR="002948A6" w:rsidRPr="007269BF">
        <w:rPr>
          <w:lang w:val="en-GB"/>
        </w:rPr>
        <w:t xml:space="preserve">that </w:t>
      </w:r>
      <w:r w:rsidR="00D5357B" w:rsidRPr="007269BF">
        <w:t xml:space="preserve">UNMIK’s actions </w:t>
      </w:r>
      <w:r w:rsidR="002948A6" w:rsidRPr="007269BF">
        <w:t>resulted in the</w:t>
      </w:r>
      <w:r w:rsidR="00D5357B" w:rsidRPr="007269BF">
        <w:t xml:space="preserve"> discovery of</w:t>
      </w:r>
      <w:r w:rsidR="002948A6" w:rsidRPr="007269BF">
        <w:t xml:space="preserve"> the mortal remains of </w:t>
      </w:r>
      <w:r w:rsidR="00D5357B" w:rsidRPr="007269BF">
        <w:rPr>
          <w:lang w:val="en-GB"/>
        </w:rPr>
        <w:t xml:space="preserve">Mr </w:t>
      </w:r>
      <w:proofErr w:type="spellStart"/>
      <w:r w:rsidR="00D5357B" w:rsidRPr="007269BF">
        <w:rPr>
          <w:lang w:val="en-GB"/>
        </w:rPr>
        <w:t>Ðorđe</w:t>
      </w:r>
      <w:proofErr w:type="spellEnd"/>
      <w:r w:rsidR="00D5357B" w:rsidRPr="007269BF">
        <w:rPr>
          <w:lang w:val="en-GB"/>
        </w:rPr>
        <w:t xml:space="preserve"> </w:t>
      </w:r>
      <w:proofErr w:type="spellStart"/>
      <w:r w:rsidR="00D5357B" w:rsidRPr="007269BF">
        <w:rPr>
          <w:lang w:val="en-GB"/>
        </w:rPr>
        <w:t>Kuzmanović</w:t>
      </w:r>
      <w:proofErr w:type="spellEnd"/>
      <w:r w:rsidR="00D5357B" w:rsidRPr="007269BF">
        <w:t xml:space="preserve"> in 2002 and in their identification through DNA testing </w:t>
      </w:r>
      <w:r w:rsidR="002209BE" w:rsidRPr="007269BF">
        <w:t>in the spring of</w:t>
      </w:r>
      <w:r w:rsidR="00D5357B" w:rsidRPr="007269BF">
        <w:t xml:space="preserve"> 2003. </w:t>
      </w:r>
      <w:r w:rsidRPr="007269BF">
        <w:rPr>
          <w:lang w:val="en-GB"/>
        </w:rPr>
        <w:t>Although</w:t>
      </w:r>
      <w:r w:rsidRPr="007269BF">
        <w:t xml:space="preserve"> this must be considered in itself an achievement, the Panel recalls that the procedural obligation under Article 2 did not come to an end with the discovery, ide</w:t>
      </w:r>
      <w:r w:rsidR="00423598" w:rsidRPr="007269BF">
        <w:t>ntification and subsequent hand</w:t>
      </w:r>
      <w:r w:rsidRPr="007269BF">
        <w:t xml:space="preserve">over of </w:t>
      </w:r>
      <w:r w:rsidR="002209BE" w:rsidRPr="007269BF">
        <w:rPr>
          <w:lang w:val="en-GB"/>
        </w:rPr>
        <w:t xml:space="preserve">Mr </w:t>
      </w:r>
      <w:proofErr w:type="spellStart"/>
      <w:r w:rsidR="002209BE" w:rsidRPr="007269BF">
        <w:rPr>
          <w:lang w:val="en-GB"/>
        </w:rPr>
        <w:t>Ðorđe</w:t>
      </w:r>
      <w:proofErr w:type="spellEnd"/>
      <w:r w:rsidR="002209BE" w:rsidRPr="007269BF">
        <w:rPr>
          <w:lang w:val="en-GB"/>
        </w:rPr>
        <w:t xml:space="preserve"> </w:t>
      </w:r>
      <w:proofErr w:type="spellStart"/>
      <w:r w:rsidR="002209BE" w:rsidRPr="007269BF">
        <w:rPr>
          <w:lang w:val="en-GB"/>
        </w:rPr>
        <w:t>Kuzmanović’s</w:t>
      </w:r>
      <w:proofErr w:type="spellEnd"/>
      <w:r w:rsidR="002209BE" w:rsidRPr="007269BF">
        <w:rPr>
          <w:lang w:val="en-GB"/>
        </w:rPr>
        <w:t xml:space="preserve"> mortal remains, especially as they showed signs of a violent death.  </w:t>
      </w:r>
      <w:r w:rsidR="002209BE" w:rsidRPr="007269BF">
        <w:t xml:space="preserve">The Panel notes that this was a moment of renewed contact with the family. Nonetheless, no further investigative action was carried </w:t>
      </w:r>
      <w:r w:rsidR="007269BF" w:rsidRPr="007269BF">
        <w:t xml:space="preserve">over </w:t>
      </w:r>
      <w:r w:rsidR="00CD43C8" w:rsidRPr="007269BF">
        <w:t xml:space="preserve">to gather information from </w:t>
      </w:r>
      <w:r w:rsidR="00875732" w:rsidRPr="007269BF">
        <w:rPr>
          <w:lang w:val="en-GB"/>
        </w:rPr>
        <w:t xml:space="preserve">Mr </w:t>
      </w:r>
      <w:proofErr w:type="spellStart"/>
      <w:r w:rsidR="00875732" w:rsidRPr="007269BF">
        <w:rPr>
          <w:lang w:val="en-GB"/>
        </w:rPr>
        <w:t>Ðorđe</w:t>
      </w:r>
      <w:proofErr w:type="spellEnd"/>
      <w:r w:rsidR="00875732" w:rsidRPr="007269BF">
        <w:rPr>
          <w:lang w:val="en-GB"/>
        </w:rPr>
        <w:t xml:space="preserve"> </w:t>
      </w:r>
      <w:proofErr w:type="spellStart"/>
      <w:r w:rsidR="00875732" w:rsidRPr="007269BF">
        <w:rPr>
          <w:lang w:val="en-GB"/>
        </w:rPr>
        <w:t>Kuzmanović’s</w:t>
      </w:r>
      <w:proofErr w:type="spellEnd"/>
      <w:r w:rsidR="00875732" w:rsidRPr="007269BF">
        <w:rPr>
          <w:lang w:val="en-GB"/>
        </w:rPr>
        <w:t xml:space="preserve"> family members</w:t>
      </w:r>
      <w:r w:rsidR="00CD43C8" w:rsidRPr="007269BF">
        <w:t xml:space="preserve"> or any other </w:t>
      </w:r>
      <w:r w:rsidR="00CD43C8" w:rsidRPr="00AC35AF">
        <w:t xml:space="preserve">action aimed at </w:t>
      </w:r>
      <w:r w:rsidR="002209BE" w:rsidRPr="00AC35AF">
        <w:t>identify</w:t>
      </w:r>
      <w:r w:rsidR="00CD43C8" w:rsidRPr="00AC35AF">
        <w:t>ing</w:t>
      </w:r>
      <w:r w:rsidR="002209BE" w:rsidRPr="00AC35AF">
        <w:t xml:space="preserve"> the perpetrators.</w:t>
      </w:r>
    </w:p>
    <w:p w:rsidR="002209BE" w:rsidRPr="00AC35AF" w:rsidRDefault="002209BE" w:rsidP="002209BE">
      <w:pPr>
        <w:tabs>
          <w:tab w:val="left" w:pos="709"/>
        </w:tabs>
        <w:suppressAutoHyphens/>
        <w:autoSpaceDE w:val="0"/>
        <w:ind w:left="360"/>
        <w:jc w:val="both"/>
        <w:rPr>
          <w:bCs/>
          <w:i/>
          <w:lang w:val="en-GB"/>
        </w:rPr>
      </w:pPr>
    </w:p>
    <w:p w:rsidR="00266B1E" w:rsidRPr="00AC35AF" w:rsidRDefault="00CD43C8" w:rsidP="00266B1E">
      <w:pPr>
        <w:numPr>
          <w:ilvl w:val="0"/>
          <w:numId w:val="2"/>
        </w:numPr>
        <w:tabs>
          <w:tab w:val="left" w:pos="709"/>
        </w:tabs>
        <w:suppressAutoHyphens/>
        <w:autoSpaceDE w:val="0"/>
        <w:jc w:val="both"/>
        <w:rPr>
          <w:bCs/>
          <w:i/>
          <w:lang w:val="en-GB"/>
        </w:rPr>
      </w:pPr>
      <w:r w:rsidRPr="00AC35AF">
        <w:rPr>
          <w:bCs/>
          <w:lang w:val="en-GB"/>
        </w:rPr>
        <w:t xml:space="preserve">In May 2004, a criminal complaint was filed on behalf of the complainant with an International Prosecutor in Prishtinë/Priština, which provides the names of two persons, </w:t>
      </w:r>
      <w:proofErr w:type="spellStart"/>
      <w:r w:rsidR="00875732" w:rsidRPr="00AC35AF">
        <w:rPr>
          <w:bCs/>
          <w:lang w:val="en-GB"/>
        </w:rPr>
        <w:lastRenderedPageBreak/>
        <w:t>D.Ra</w:t>
      </w:r>
      <w:proofErr w:type="spellEnd"/>
      <w:r w:rsidR="000A4303" w:rsidRPr="00AC35AF">
        <w:rPr>
          <w:bCs/>
          <w:lang w:val="en-GB"/>
        </w:rPr>
        <w:t>.</w:t>
      </w:r>
      <w:r w:rsidRPr="00AC35AF">
        <w:rPr>
          <w:bCs/>
          <w:lang w:val="en-GB"/>
        </w:rPr>
        <w:t xml:space="preserve"> </w:t>
      </w:r>
      <w:proofErr w:type="gramStart"/>
      <w:r w:rsidRPr="00AC35AF">
        <w:rPr>
          <w:bCs/>
          <w:lang w:val="en-GB"/>
        </w:rPr>
        <w:t>and</w:t>
      </w:r>
      <w:proofErr w:type="gramEnd"/>
      <w:r w:rsidRPr="00AC35AF">
        <w:rPr>
          <w:bCs/>
          <w:lang w:val="en-GB"/>
        </w:rPr>
        <w:t xml:space="preserve"> “the son of [A.E.]</w:t>
      </w:r>
      <w:r w:rsidR="00875732" w:rsidRPr="00AC35AF">
        <w:rPr>
          <w:bCs/>
          <w:lang w:val="en-GB"/>
        </w:rPr>
        <w:t>”</w:t>
      </w:r>
      <w:r w:rsidRPr="00AC35AF">
        <w:rPr>
          <w:bCs/>
          <w:lang w:val="en-GB"/>
        </w:rPr>
        <w:t xml:space="preserve"> (the same persons mentioned by the complainant in her submission to the Panel of December 2011, see</w:t>
      </w:r>
      <w:r w:rsidRPr="00AC35AF">
        <w:rPr>
          <w:lang w:val="en-GB"/>
        </w:rPr>
        <w:t xml:space="preserve"> §§ 25 and 35 above) </w:t>
      </w:r>
      <w:r w:rsidRPr="00AC35AF">
        <w:rPr>
          <w:bCs/>
          <w:lang w:val="en-GB"/>
        </w:rPr>
        <w:t xml:space="preserve">allegedly responsible for the abduction and killing of </w:t>
      </w:r>
      <w:r w:rsidRPr="00AC35AF">
        <w:rPr>
          <w:lang w:val="en-GB"/>
        </w:rPr>
        <w:t xml:space="preserve">Mr </w:t>
      </w:r>
      <w:proofErr w:type="spellStart"/>
      <w:r w:rsidRPr="00AC35AF">
        <w:rPr>
          <w:lang w:val="en-GB"/>
        </w:rPr>
        <w:t>Ðorđe</w:t>
      </w:r>
      <w:proofErr w:type="spellEnd"/>
      <w:r w:rsidRPr="00AC35AF">
        <w:rPr>
          <w:lang w:val="en-GB"/>
        </w:rPr>
        <w:t xml:space="preserve"> </w:t>
      </w:r>
      <w:proofErr w:type="spellStart"/>
      <w:r w:rsidRPr="00AC35AF">
        <w:rPr>
          <w:lang w:val="en-GB"/>
        </w:rPr>
        <w:t>Kuzmanović</w:t>
      </w:r>
      <w:proofErr w:type="spellEnd"/>
      <w:r w:rsidRPr="00AC35AF">
        <w:rPr>
          <w:lang w:val="en-GB"/>
        </w:rPr>
        <w:t>. The complaint also indicates</w:t>
      </w:r>
      <w:r w:rsidR="00266B1E" w:rsidRPr="00AC35AF">
        <w:rPr>
          <w:lang w:val="en-GB"/>
        </w:rPr>
        <w:t xml:space="preserve"> that </w:t>
      </w:r>
      <w:r w:rsidRPr="00AC35AF">
        <w:rPr>
          <w:lang w:val="en-GB"/>
        </w:rPr>
        <w:t xml:space="preserve">Mr </w:t>
      </w:r>
      <w:proofErr w:type="spellStart"/>
      <w:r w:rsidRPr="00AC35AF">
        <w:rPr>
          <w:lang w:val="en-GB"/>
        </w:rPr>
        <w:t>Ðorđe</w:t>
      </w:r>
      <w:proofErr w:type="spellEnd"/>
      <w:r w:rsidRPr="00AC35AF">
        <w:rPr>
          <w:lang w:val="en-GB"/>
        </w:rPr>
        <w:t xml:space="preserve"> </w:t>
      </w:r>
      <w:proofErr w:type="spellStart"/>
      <w:r w:rsidRPr="00AC35AF">
        <w:rPr>
          <w:lang w:val="en-GB"/>
        </w:rPr>
        <w:t>Kuzmanović’s</w:t>
      </w:r>
      <w:proofErr w:type="spellEnd"/>
      <w:r w:rsidRPr="00AC35AF">
        <w:rPr>
          <w:lang w:val="en-GB"/>
        </w:rPr>
        <w:t xml:space="preserve"> mother</w:t>
      </w:r>
      <w:r w:rsidR="00266B1E" w:rsidRPr="00AC35AF">
        <w:rPr>
          <w:lang w:val="en-GB"/>
        </w:rPr>
        <w:t>, was an eye-witness to the abduction and that</w:t>
      </w:r>
      <w:r w:rsidR="00875732" w:rsidRPr="00AC35AF">
        <w:rPr>
          <w:lang w:val="en-GB"/>
        </w:rPr>
        <w:t xml:space="preserve"> Mr</w:t>
      </w:r>
      <w:r w:rsidR="00266B1E" w:rsidRPr="00AC35AF">
        <w:rPr>
          <w:lang w:val="en-GB"/>
        </w:rPr>
        <w:t xml:space="preserve"> </w:t>
      </w:r>
      <w:r w:rsidRPr="00AC35AF">
        <w:rPr>
          <w:lang w:val="en-GB"/>
        </w:rPr>
        <w:t xml:space="preserve">V.S. (also mentioned in §§ 25 and 35 above) </w:t>
      </w:r>
      <w:r w:rsidR="00266B1E" w:rsidRPr="00AC35AF">
        <w:rPr>
          <w:lang w:val="en-GB"/>
        </w:rPr>
        <w:t xml:space="preserve">was </w:t>
      </w:r>
      <w:r w:rsidR="00875732" w:rsidRPr="00AC35AF">
        <w:rPr>
          <w:lang w:val="en-GB"/>
        </w:rPr>
        <w:t xml:space="preserve">reportedly </w:t>
      </w:r>
      <w:r w:rsidR="00266B1E" w:rsidRPr="00AC35AF">
        <w:rPr>
          <w:lang w:val="en-GB"/>
        </w:rPr>
        <w:t xml:space="preserve">at some point detained and tortured in a certain location along with Mr </w:t>
      </w:r>
      <w:proofErr w:type="spellStart"/>
      <w:r w:rsidR="00266B1E" w:rsidRPr="00AC35AF">
        <w:rPr>
          <w:lang w:val="en-GB"/>
        </w:rPr>
        <w:t>Ðorđe</w:t>
      </w:r>
      <w:proofErr w:type="spellEnd"/>
      <w:r w:rsidR="00266B1E" w:rsidRPr="00AC35AF">
        <w:rPr>
          <w:lang w:val="en-GB"/>
        </w:rPr>
        <w:t xml:space="preserve"> </w:t>
      </w:r>
      <w:proofErr w:type="spellStart"/>
      <w:r w:rsidR="00266B1E" w:rsidRPr="00AC35AF">
        <w:rPr>
          <w:lang w:val="en-GB"/>
        </w:rPr>
        <w:t>Kuzmanović</w:t>
      </w:r>
      <w:proofErr w:type="spellEnd"/>
      <w:r w:rsidR="00266B1E" w:rsidRPr="00AC35AF">
        <w:rPr>
          <w:lang w:val="en-GB"/>
        </w:rPr>
        <w:t xml:space="preserve"> before managing to escape</w:t>
      </w:r>
      <w:r w:rsidRPr="00AC35AF">
        <w:rPr>
          <w:lang w:val="en-GB"/>
        </w:rPr>
        <w:t xml:space="preserve">. </w:t>
      </w:r>
      <w:r w:rsidR="00266B1E" w:rsidRPr="00AC35AF">
        <w:rPr>
          <w:lang w:val="en-GB"/>
        </w:rPr>
        <w:t xml:space="preserve">The Panel notes with concern </w:t>
      </w:r>
      <w:r w:rsidR="00875732" w:rsidRPr="00AC35AF">
        <w:rPr>
          <w:lang w:val="en-GB"/>
        </w:rPr>
        <w:t>that UNMIK investigators ignored this information, as</w:t>
      </w:r>
      <w:r w:rsidR="00266B1E" w:rsidRPr="00AC35AF">
        <w:rPr>
          <w:lang w:val="en-GB"/>
        </w:rPr>
        <w:t xml:space="preserve"> there is no evidence in the file that UNMIK made any effort to contact and interview the above-mentioned </w:t>
      </w:r>
      <w:r w:rsidR="00875732" w:rsidRPr="00AC35AF">
        <w:rPr>
          <w:lang w:val="en-GB"/>
        </w:rPr>
        <w:t xml:space="preserve">suspects and eye-witnesses.  Similarly, the file shows that no other </w:t>
      </w:r>
      <w:r w:rsidR="00266B1E" w:rsidRPr="00AC35AF">
        <w:rPr>
          <w:lang w:val="en-GB"/>
        </w:rPr>
        <w:t>effort</w:t>
      </w:r>
      <w:r w:rsidR="00875732" w:rsidRPr="00AC35AF">
        <w:rPr>
          <w:lang w:val="en-GB"/>
        </w:rPr>
        <w:t xml:space="preserve"> was made</w:t>
      </w:r>
      <w:r w:rsidR="00266B1E" w:rsidRPr="00AC35AF">
        <w:rPr>
          <w:lang w:val="en-GB"/>
        </w:rPr>
        <w:t xml:space="preserve"> to identify other potential witnesses or the place in which Mr </w:t>
      </w:r>
      <w:proofErr w:type="spellStart"/>
      <w:r w:rsidR="00266B1E" w:rsidRPr="00AC35AF">
        <w:rPr>
          <w:lang w:val="en-GB"/>
        </w:rPr>
        <w:t>Ðorđe</w:t>
      </w:r>
      <w:proofErr w:type="spellEnd"/>
      <w:r w:rsidR="00266B1E" w:rsidRPr="00AC35AF">
        <w:rPr>
          <w:lang w:val="en-GB"/>
        </w:rPr>
        <w:t xml:space="preserve"> </w:t>
      </w:r>
      <w:proofErr w:type="spellStart"/>
      <w:r w:rsidR="00266B1E" w:rsidRPr="00AC35AF">
        <w:rPr>
          <w:lang w:val="en-GB"/>
        </w:rPr>
        <w:t>Kuzmanović</w:t>
      </w:r>
      <w:proofErr w:type="spellEnd"/>
      <w:r w:rsidR="00266B1E" w:rsidRPr="00AC35AF">
        <w:rPr>
          <w:lang w:val="en-GB"/>
        </w:rPr>
        <w:t xml:space="preserve"> had been allegedly detained and tortured</w:t>
      </w:r>
      <w:r w:rsidR="000D0A44" w:rsidRPr="00AC35AF">
        <w:rPr>
          <w:lang w:val="en-GB"/>
        </w:rPr>
        <w:t xml:space="preserve"> by the KLA</w:t>
      </w:r>
      <w:r w:rsidR="00266B1E" w:rsidRPr="00AC35AF">
        <w:rPr>
          <w:lang w:val="en-GB"/>
        </w:rPr>
        <w:t xml:space="preserve">. </w:t>
      </w:r>
    </w:p>
    <w:p w:rsidR="00266B1E" w:rsidRPr="00AC35AF" w:rsidRDefault="00266B1E" w:rsidP="00266B1E">
      <w:pPr>
        <w:tabs>
          <w:tab w:val="left" w:pos="709"/>
        </w:tabs>
        <w:suppressAutoHyphens/>
        <w:autoSpaceDE w:val="0"/>
        <w:ind w:left="360"/>
        <w:jc w:val="both"/>
        <w:rPr>
          <w:bCs/>
          <w:i/>
          <w:lang w:val="en-GB"/>
        </w:rPr>
      </w:pPr>
    </w:p>
    <w:p w:rsidR="00266B1E" w:rsidRPr="00AC35AF" w:rsidRDefault="00266B1E" w:rsidP="002209BE">
      <w:pPr>
        <w:numPr>
          <w:ilvl w:val="0"/>
          <w:numId w:val="2"/>
        </w:numPr>
        <w:tabs>
          <w:tab w:val="left" w:pos="709"/>
        </w:tabs>
        <w:suppressAutoHyphens/>
        <w:autoSpaceDE w:val="0"/>
        <w:jc w:val="both"/>
        <w:rPr>
          <w:bCs/>
          <w:lang w:val="en-GB"/>
        </w:rPr>
      </w:pPr>
      <w:r w:rsidRPr="00AC35AF">
        <w:rPr>
          <w:bCs/>
          <w:lang w:val="en-GB"/>
        </w:rPr>
        <w:t>The Panel also notes that according to e-m</w:t>
      </w:r>
      <w:r w:rsidR="00AC35AF" w:rsidRPr="00AC35AF">
        <w:rPr>
          <w:bCs/>
          <w:lang w:val="en-GB"/>
        </w:rPr>
        <w:t>ails and interoffice memoranda,</w:t>
      </w:r>
      <w:r w:rsidRPr="00AC35AF">
        <w:rPr>
          <w:bCs/>
          <w:lang w:val="en-GB"/>
        </w:rPr>
        <w:t xml:space="preserve"> dated July 2004 and February 2005, UNMIK Police came across the name of </w:t>
      </w:r>
      <w:r w:rsidRPr="00AC35AF">
        <w:rPr>
          <w:lang w:val="en-GB"/>
        </w:rPr>
        <w:t xml:space="preserve">Mr </w:t>
      </w:r>
      <w:proofErr w:type="spellStart"/>
      <w:r w:rsidRPr="00AC35AF">
        <w:rPr>
          <w:lang w:val="en-GB"/>
        </w:rPr>
        <w:t>Ðorđe</w:t>
      </w:r>
      <w:proofErr w:type="spellEnd"/>
      <w:r w:rsidRPr="00AC35AF">
        <w:rPr>
          <w:lang w:val="en-GB"/>
        </w:rPr>
        <w:t xml:space="preserve"> </w:t>
      </w:r>
      <w:proofErr w:type="spellStart"/>
      <w:r w:rsidRPr="00AC35AF">
        <w:rPr>
          <w:lang w:val="en-GB"/>
        </w:rPr>
        <w:t>Kuzmanović</w:t>
      </w:r>
      <w:proofErr w:type="spellEnd"/>
      <w:r w:rsidRPr="00AC35AF">
        <w:rPr>
          <w:lang w:val="en-GB"/>
        </w:rPr>
        <w:t xml:space="preserve"> while con</w:t>
      </w:r>
      <w:r w:rsidR="00AC35AF" w:rsidRPr="00AC35AF">
        <w:rPr>
          <w:lang w:val="en-GB"/>
        </w:rPr>
        <w:t>ducting a wider investigation into</w:t>
      </w:r>
      <w:r w:rsidRPr="00AC35AF">
        <w:rPr>
          <w:lang w:val="en-GB"/>
        </w:rPr>
        <w:t xml:space="preserve"> crimes committed by a number of KLA </w:t>
      </w:r>
      <w:r w:rsidR="00AC35AF" w:rsidRPr="00AC35AF">
        <w:rPr>
          <w:lang w:val="en-GB"/>
        </w:rPr>
        <w:t xml:space="preserve">members </w:t>
      </w:r>
      <w:r w:rsidRPr="00AC35AF">
        <w:rPr>
          <w:lang w:val="en-GB"/>
        </w:rPr>
        <w:t xml:space="preserve">during and in the aftermath of the Kosovo conflict. In particular, the name of Mr </w:t>
      </w:r>
      <w:proofErr w:type="spellStart"/>
      <w:r w:rsidRPr="00AC35AF">
        <w:rPr>
          <w:lang w:val="en-GB"/>
        </w:rPr>
        <w:t>Ðorđe</w:t>
      </w:r>
      <w:proofErr w:type="spellEnd"/>
      <w:r w:rsidRPr="00AC35AF">
        <w:rPr>
          <w:lang w:val="en-GB"/>
        </w:rPr>
        <w:t xml:space="preserve"> </w:t>
      </w:r>
      <w:proofErr w:type="spellStart"/>
      <w:r w:rsidRPr="00AC35AF">
        <w:rPr>
          <w:lang w:val="en-GB"/>
        </w:rPr>
        <w:t>Kuzmanović</w:t>
      </w:r>
      <w:proofErr w:type="spellEnd"/>
      <w:r w:rsidRPr="00AC35AF">
        <w:rPr>
          <w:lang w:val="en-GB"/>
        </w:rPr>
        <w:t xml:space="preserve"> appears in a list of six persons kidnapped and murdered at the orders of one E.X. Again, the Panel notes with concern </w:t>
      </w:r>
      <w:r w:rsidR="00277157" w:rsidRPr="00AC35AF">
        <w:rPr>
          <w:lang w:val="en-GB"/>
        </w:rPr>
        <w:t xml:space="preserve">there is </w:t>
      </w:r>
      <w:r w:rsidR="00875732" w:rsidRPr="00AC35AF">
        <w:rPr>
          <w:lang w:val="en-GB"/>
        </w:rPr>
        <w:t xml:space="preserve">not </w:t>
      </w:r>
      <w:r w:rsidR="00277157" w:rsidRPr="00AC35AF">
        <w:rPr>
          <w:lang w:val="en-GB"/>
        </w:rPr>
        <w:t xml:space="preserve">any indication in the </w:t>
      </w:r>
      <w:r w:rsidR="00875732" w:rsidRPr="00AC35AF">
        <w:rPr>
          <w:lang w:val="en-GB"/>
        </w:rPr>
        <w:t xml:space="preserve">file that </w:t>
      </w:r>
      <w:r w:rsidR="00277157" w:rsidRPr="00AC35AF">
        <w:rPr>
          <w:lang w:val="en-GB"/>
        </w:rPr>
        <w:t xml:space="preserve">any other action was taken by UNMIK to follow-up on this additional investigative lead. </w:t>
      </w:r>
    </w:p>
    <w:p w:rsidR="00277157" w:rsidRPr="00AC35AF" w:rsidRDefault="00277157" w:rsidP="00277157">
      <w:pPr>
        <w:pStyle w:val="ListParagraph"/>
        <w:rPr>
          <w:bCs/>
          <w:lang w:val="en-GB"/>
        </w:rPr>
      </w:pPr>
    </w:p>
    <w:p w:rsidR="00277157" w:rsidRPr="00AC35AF" w:rsidRDefault="00277157" w:rsidP="00277157">
      <w:pPr>
        <w:pStyle w:val="ListParagraph"/>
        <w:numPr>
          <w:ilvl w:val="0"/>
          <w:numId w:val="2"/>
        </w:numPr>
        <w:autoSpaceDE w:val="0"/>
        <w:jc w:val="both"/>
        <w:rPr>
          <w:lang w:val="en-GB"/>
        </w:rPr>
      </w:pPr>
      <w:r w:rsidRPr="00AC35AF">
        <w:rPr>
          <w:lang w:val="en-GB"/>
        </w:rPr>
        <w:t xml:space="preserve">Coming to the period within its jurisdiction, starting from 23 April 2005, </w:t>
      </w:r>
      <w:proofErr w:type="gramStart"/>
      <w:r w:rsidRPr="00AC35AF">
        <w:rPr>
          <w:lang w:val="en-GB"/>
        </w:rPr>
        <w:t>the</w:t>
      </w:r>
      <w:proofErr w:type="gramEnd"/>
      <w:r w:rsidRPr="00AC35AF">
        <w:rPr>
          <w:lang w:val="en-GB"/>
        </w:rPr>
        <w:t xml:space="preserve"> Panel notes that after that critical date the failure to conduct the necessary investigative actions persisted. Accordingly, inadequacies existing up until that date were not addressed. </w:t>
      </w:r>
      <w:r w:rsidRPr="00AC35AF">
        <w:rPr>
          <w:bCs/>
          <w:lang w:val="en-GB"/>
        </w:rPr>
        <w:t>Thus</w:t>
      </w:r>
      <w:r w:rsidRPr="00AC35AF">
        <w:rPr>
          <w:lang w:val="en-GB"/>
        </w:rPr>
        <w:t xml:space="preserve">, in accordance with the continuing obligation to investigate (see § </w:t>
      </w:r>
      <w:r w:rsidRPr="00AC35AF">
        <w:fldChar w:fldCharType="begin"/>
      </w:r>
      <w:r w:rsidRPr="00AC35AF">
        <w:instrText xml:space="preserve"> REF _Ref373950745 \r \h  \* MERGEFORMAT </w:instrText>
      </w:r>
      <w:r w:rsidRPr="00AC35AF">
        <w:fldChar w:fldCharType="separate"/>
      </w:r>
      <w:r w:rsidR="002F62D4" w:rsidRPr="002F62D4">
        <w:rPr>
          <w:lang w:val="en-GB"/>
        </w:rPr>
        <w:t>75</w:t>
      </w:r>
      <w:r w:rsidRPr="00AC35AF">
        <w:fldChar w:fldCharType="end"/>
      </w:r>
      <w:r w:rsidRPr="00AC35AF">
        <w:rPr>
          <w:lang w:val="en-GB"/>
        </w:rPr>
        <w:t xml:space="preserve"> above), the assessment of the whole investigation is brought within the period of the Panel’s jurisdiction.</w:t>
      </w:r>
    </w:p>
    <w:p w:rsidR="00277157" w:rsidRPr="00AC35AF" w:rsidRDefault="00277157" w:rsidP="00277157">
      <w:pPr>
        <w:pStyle w:val="ListParagraph"/>
        <w:rPr>
          <w:lang w:val="en-GB"/>
        </w:rPr>
      </w:pPr>
    </w:p>
    <w:p w:rsidR="009F63AF" w:rsidRPr="00AC35AF" w:rsidRDefault="00277157" w:rsidP="009F63AF">
      <w:pPr>
        <w:pStyle w:val="ListParagraph"/>
        <w:numPr>
          <w:ilvl w:val="0"/>
          <w:numId w:val="2"/>
        </w:numPr>
        <w:autoSpaceDE w:val="0"/>
        <w:jc w:val="both"/>
        <w:rPr>
          <w:lang w:val="en-GB"/>
        </w:rPr>
      </w:pPr>
      <w:r w:rsidRPr="00AC35AF">
        <w:rPr>
          <w:lang w:val="en-GB"/>
        </w:rPr>
        <w:t xml:space="preserve">In addition, the Panel considers that as those responsible for the crime had not been identified, UNMIK Police was obliged to use the means at their disposal to regularly review the progress of the </w:t>
      </w:r>
      <w:r w:rsidRPr="00AC35AF">
        <w:rPr>
          <w:bCs/>
          <w:lang w:val="en-GB"/>
        </w:rPr>
        <w:t>investigation</w:t>
      </w:r>
      <w:r w:rsidRPr="00AC35AF">
        <w:rPr>
          <w:lang w:val="en-GB"/>
        </w:rPr>
        <w:t xml:space="preserve"> to </w:t>
      </w:r>
      <w:r w:rsidRPr="00AC35AF">
        <w:t>ensure</w:t>
      </w:r>
      <w:r w:rsidRPr="00AC35AF">
        <w:rPr>
          <w:lang w:val="en-GB"/>
        </w:rPr>
        <w:t xml:space="preserve"> that nothing had been overlooked and that any new evidence had been considered, as well as to inform the relatives regarding the progress of this investigation.</w:t>
      </w:r>
    </w:p>
    <w:p w:rsidR="009F63AF" w:rsidRPr="00AC35AF" w:rsidRDefault="009F63AF" w:rsidP="009F63AF">
      <w:pPr>
        <w:pStyle w:val="ListParagraph"/>
        <w:rPr>
          <w:lang w:val="en-GB"/>
        </w:rPr>
      </w:pPr>
    </w:p>
    <w:p w:rsidR="00277157" w:rsidRPr="00AC35AF" w:rsidRDefault="00277157" w:rsidP="009F63AF">
      <w:pPr>
        <w:pStyle w:val="ListParagraph"/>
        <w:numPr>
          <w:ilvl w:val="0"/>
          <w:numId w:val="2"/>
        </w:numPr>
        <w:autoSpaceDE w:val="0"/>
        <w:jc w:val="both"/>
        <w:rPr>
          <w:lang w:val="en-GB"/>
        </w:rPr>
      </w:pPr>
      <w:r w:rsidRPr="00AC35AF">
        <w:rPr>
          <w:lang w:val="en-GB"/>
        </w:rPr>
        <w:t>The Panel notes that no ac</w:t>
      </w:r>
      <w:r w:rsidR="00AC35AF" w:rsidRPr="00AC35AF">
        <w:rPr>
          <w:lang w:val="en-GB"/>
        </w:rPr>
        <w:t>tion whatsoever was taken by</w:t>
      </w:r>
      <w:r w:rsidRPr="00AC35AF">
        <w:rPr>
          <w:lang w:val="en-GB"/>
        </w:rPr>
        <w:t xml:space="preserve"> UNMIK Police in the period within the Panel’s temporal jurisdiction and that the case concerning Mr </w:t>
      </w:r>
      <w:proofErr w:type="spellStart"/>
      <w:r w:rsidRPr="00AC35AF">
        <w:rPr>
          <w:lang w:val="en-GB"/>
        </w:rPr>
        <w:t>Ðorđe</w:t>
      </w:r>
      <w:proofErr w:type="spellEnd"/>
      <w:r w:rsidRPr="00AC35AF">
        <w:rPr>
          <w:lang w:val="en-GB"/>
        </w:rPr>
        <w:t xml:space="preserve"> </w:t>
      </w:r>
      <w:proofErr w:type="spellStart"/>
      <w:r w:rsidRPr="00AC35AF">
        <w:rPr>
          <w:lang w:val="en-GB"/>
        </w:rPr>
        <w:t>Kuzmanović’s</w:t>
      </w:r>
      <w:proofErr w:type="spellEnd"/>
      <w:r w:rsidRPr="00AC35AF">
        <w:rPr>
          <w:lang w:val="en-GB"/>
        </w:rPr>
        <w:t xml:space="preserve"> killing was not review</w:t>
      </w:r>
      <w:r w:rsidR="00AC35AF" w:rsidRPr="00AC35AF">
        <w:rPr>
          <w:lang w:val="en-GB"/>
        </w:rPr>
        <w:t>ed</w:t>
      </w:r>
      <w:r w:rsidRPr="00AC35AF">
        <w:rPr>
          <w:lang w:val="en-GB"/>
        </w:rPr>
        <w:t xml:space="preserve"> until it was handed over to EULEX in 2009.</w:t>
      </w:r>
      <w:r w:rsidRPr="00AC35AF">
        <w:rPr>
          <w:color w:val="000000" w:themeColor="text1"/>
          <w:lang w:val="en-GB"/>
        </w:rPr>
        <w:t xml:space="preserve"> </w:t>
      </w:r>
      <w:r w:rsidR="00875732" w:rsidRPr="00AC35AF">
        <w:rPr>
          <w:color w:val="000000" w:themeColor="text1"/>
          <w:lang w:val="en-GB"/>
        </w:rPr>
        <w:t>Only at this time,</w:t>
      </w:r>
      <w:r w:rsidR="00D25E20" w:rsidRPr="00AC35AF">
        <w:rPr>
          <w:color w:val="000000" w:themeColor="text1"/>
          <w:lang w:val="en-GB"/>
        </w:rPr>
        <w:t xml:space="preserve"> almost ten years after the abduction of </w:t>
      </w:r>
      <w:r w:rsidR="00D25E20" w:rsidRPr="00AC35AF">
        <w:rPr>
          <w:lang w:val="en-GB"/>
        </w:rPr>
        <w:t xml:space="preserve">Mr </w:t>
      </w:r>
      <w:proofErr w:type="spellStart"/>
      <w:r w:rsidR="00D25E20" w:rsidRPr="00AC35AF">
        <w:rPr>
          <w:lang w:val="en-GB"/>
        </w:rPr>
        <w:t>Ðorđe</w:t>
      </w:r>
      <w:proofErr w:type="spellEnd"/>
      <w:r w:rsidR="00D25E20" w:rsidRPr="00AC35AF">
        <w:rPr>
          <w:lang w:val="en-GB"/>
        </w:rPr>
        <w:t xml:space="preserve"> </w:t>
      </w:r>
      <w:proofErr w:type="spellStart"/>
      <w:r w:rsidR="00D25E20" w:rsidRPr="00AC35AF">
        <w:rPr>
          <w:lang w:val="en-GB"/>
        </w:rPr>
        <w:t>Kuzmanović</w:t>
      </w:r>
      <w:proofErr w:type="spellEnd"/>
      <w:r w:rsidR="00D25E20" w:rsidRPr="00AC35AF">
        <w:rPr>
          <w:lang w:val="en-GB"/>
        </w:rPr>
        <w:t xml:space="preserve">, </w:t>
      </w:r>
      <w:r w:rsidR="00AC35AF" w:rsidRPr="00AC35AF">
        <w:rPr>
          <w:lang w:val="en-GB"/>
        </w:rPr>
        <w:t xml:space="preserve">did </w:t>
      </w:r>
      <w:r w:rsidR="00D25E20" w:rsidRPr="00AC35AF">
        <w:rPr>
          <w:lang w:val="en-GB"/>
        </w:rPr>
        <w:t>an International P</w:t>
      </w:r>
      <w:r w:rsidR="00AC35AF" w:rsidRPr="00AC35AF">
        <w:rPr>
          <w:lang w:val="en-GB"/>
        </w:rPr>
        <w:t xml:space="preserve">rosecutor of the SPRK request </w:t>
      </w:r>
      <w:r w:rsidR="00D25E20" w:rsidRPr="00AC35AF">
        <w:rPr>
          <w:lang w:val="en-GB"/>
        </w:rPr>
        <w:t>the police to make further investigation</w:t>
      </w:r>
      <w:r w:rsidR="00AC35AF" w:rsidRPr="00AC35AF">
        <w:rPr>
          <w:lang w:val="en-GB"/>
        </w:rPr>
        <w:t>s,</w:t>
      </w:r>
      <w:r w:rsidR="00D25E20" w:rsidRPr="00AC35AF">
        <w:rPr>
          <w:lang w:val="en-GB"/>
        </w:rPr>
        <w:t xml:space="preserve"> including </w:t>
      </w:r>
      <w:r w:rsidR="00AC35AF" w:rsidRPr="00AC35AF">
        <w:rPr>
          <w:lang w:val="en-GB"/>
        </w:rPr>
        <w:t xml:space="preserve">interviewing the alleged suspects and </w:t>
      </w:r>
      <w:r w:rsidR="00875732" w:rsidRPr="00AC35AF">
        <w:rPr>
          <w:lang w:val="en-GB"/>
        </w:rPr>
        <w:t>witnesses</w:t>
      </w:r>
      <w:r w:rsidR="00D25E20" w:rsidRPr="00AC35AF">
        <w:rPr>
          <w:lang w:val="en-GB"/>
        </w:rPr>
        <w:t>, whose names had been kn</w:t>
      </w:r>
      <w:r w:rsidR="00AC35AF" w:rsidRPr="00AC35AF">
        <w:rPr>
          <w:lang w:val="en-GB"/>
        </w:rPr>
        <w:t>own to</w:t>
      </w:r>
      <w:r w:rsidR="00875732" w:rsidRPr="00AC35AF">
        <w:rPr>
          <w:lang w:val="en-GB"/>
        </w:rPr>
        <w:t xml:space="preserve"> UNMIK Police at the latest</w:t>
      </w:r>
      <w:r w:rsidR="00D25E20" w:rsidRPr="00AC35AF">
        <w:rPr>
          <w:lang w:val="en-GB"/>
        </w:rPr>
        <w:t xml:space="preserve"> since May 2005. </w:t>
      </w:r>
      <w:r w:rsidR="009F63AF" w:rsidRPr="00AC35AF">
        <w:rPr>
          <w:bCs/>
          <w:color w:val="000000"/>
        </w:rPr>
        <w:t>The Panel fears that such inaction on the side of UNMIK indicates a reluctance on the part of UNMIK Police to pursue the perpetrators, in particular when there are allegations or other leads pointing towards persons associated with the</w:t>
      </w:r>
      <w:r w:rsidR="00AC35AF">
        <w:rPr>
          <w:bCs/>
          <w:color w:val="000000"/>
        </w:rPr>
        <w:t xml:space="preserve"> KLA (see HRAP, Ibraj, cases </w:t>
      </w:r>
      <w:proofErr w:type="spellStart"/>
      <w:r w:rsidR="00AC35AF">
        <w:rPr>
          <w:bCs/>
          <w:color w:val="000000"/>
        </w:rPr>
        <w:t>nos</w:t>
      </w:r>
      <w:proofErr w:type="spellEnd"/>
      <w:r w:rsidR="009F63AF" w:rsidRPr="00AC35AF">
        <w:rPr>
          <w:bCs/>
          <w:color w:val="000000"/>
        </w:rPr>
        <w:t xml:space="preserve"> 14/09 and others, opinion of 6 August 2014, § 155). </w:t>
      </w:r>
    </w:p>
    <w:p w:rsidR="00D25E20" w:rsidRPr="00D25E20" w:rsidRDefault="00D25E20" w:rsidP="00D25E20">
      <w:pPr>
        <w:pStyle w:val="ListParagraph"/>
        <w:rPr>
          <w:color w:val="000000" w:themeColor="text1"/>
          <w:highlight w:val="yellow"/>
          <w:lang w:val="en-GB"/>
        </w:rPr>
      </w:pPr>
    </w:p>
    <w:p w:rsidR="0007575D" w:rsidRPr="0007575D" w:rsidRDefault="00D25E20" w:rsidP="0007575D">
      <w:pPr>
        <w:pStyle w:val="ListParagraph"/>
        <w:numPr>
          <w:ilvl w:val="0"/>
          <w:numId w:val="2"/>
        </w:numPr>
        <w:tabs>
          <w:tab w:val="left" w:pos="709"/>
        </w:tabs>
        <w:autoSpaceDE w:val="0"/>
        <w:jc w:val="both"/>
        <w:rPr>
          <w:color w:val="000000" w:themeColor="text1"/>
          <w:lang w:val="en-GB"/>
        </w:rPr>
      </w:pPr>
      <w:r w:rsidRPr="00AC35AF">
        <w:rPr>
          <w:color w:val="000000" w:themeColor="text1"/>
          <w:lang w:val="en-GB"/>
        </w:rPr>
        <w:t xml:space="preserve">In this respect, the Panel finds inappropriate and not correspondent to the truth the SRSG’s statements that </w:t>
      </w:r>
      <w:r w:rsidRPr="00AC35AF">
        <w:rPr>
          <w:lang w:val="en-GB"/>
        </w:rPr>
        <w:t xml:space="preserve">Mr </w:t>
      </w:r>
      <w:proofErr w:type="spellStart"/>
      <w:r w:rsidRPr="00AC35AF">
        <w:rPr>
          <w:lang w:val="en-GB"/>
        </w:rPr>
        <w:t>Ðorđe</w:t>
      </w:r>
      <w:proofErr w:type="spellEnd"/>
      <w:r w:rsidRPr="00AC35AF">
        <w:rPr>
          <w:lang w:val="en-GB"/>
        </w:rPr>
        <w:t xml:space="preserve"> </w:t>
      </w:r>
      <w:proofErr w:type="spellStart"/>
      <w:r w:rsidRPr="00AC35AF">
        <w:rPr>
          <w:lang w:val="en-GB"/>
        </w:rPr>
        <w:t>Kuzmanović’s</w:t>
      </w:r>
      <w:proofErr w:type="spellEnd"/>
      <w:r w:rsidRPr="00AC35AF">
        <w:rPr>
          <w:lang w:val="en-GB"/>
        </w:rPr>
        <w:t xml:space="preserve"> family members did not provide investigators with any leads or information for further investigation and that the lack of </w:t>
      </w:r>
      <w:r w:rsidR="00875732" w:rsidRPr="00AC35AF">
        <w:rPr>
          <w:lang w:val="en-GB"/>
        </w:rPr>
        <w:t xml:space="preserve">information, </w:t>
      </w:r>
      <w:r w:rsidRPr="00AC35AF">
        <w:rPr>
          <w:lang w:val="en-GB"/>
        </w:rPr>
        <w:t xml:space="preserve">witnesses </w:t>
      </w:r>
      <w:r w:rsidRPr="00AC35AF">
        <w:rPr>
          <w:lang w:val="en-GB"/>
        </w:rPr>
        <w:lastRenderedPageBreak/>
        <w:t xml:space="preserve">and suspects in the case impeded the identification of possible perpetrators to be brought to justice. </w:t>
      </w:r>
      <w:r w:rsidR="00AC35AF" w:rsidRPr="00AC35AF">
        <w:rPr>
          <w:lang w:val="en-GB"/>
        </w:rPr>
        <w:t xml:space="preserve">Nor, contrary to the SRSG’s request, the information provided by the complainant to the Panel in December 2011 adds any material that was not available in the investigative </w:t>
      </w:r>
      <w:r w:rsidR="00AC35AF" w:rsidRPr="0007575D">
        <w:rPr>
          <w:lang w:val="en-GB"/>
        </w:rPr>
        <w:t>files.</w:t>
      </w:r>
    </w:p>
    <w:p w:rsidR="0007575D" w:rsidRPr="0007575D" w:rsidRDefault="0007575D" w:rsidP="0007575D">
      <w:pPr>
        <w:pStyle w:val="ListParagraph"/>
        <w:rPr>
          <w:bCs/>
          <w:lang w:val="en-GB"/>
        </w:rPr>
      </w:pPr>
    </w:p>
    <w:p w:rsidR="00423598" w:rsidRPr="0007575D" w:rsidRDefault="00D25E20" w:rsidP="0007575D">
      <w:pPr>
        <w:pStyle w:val="ListParagraph"/>
        <w:numPr>
          <w:ilvl w:val="0"/>
          <w:numId w:val="2"/>
        </w:numPr>
        <w:tabs>
          <w:tab w:val="left" w:pos="709"/>
        </w:tabs>
        <w:autoSpaceDE w:val="0"/>
        <w:jc w:val="both"/>
        <w:rPr>
          <w:color w:val="000000" w:themeColor="text1"/>
          <w:lang w:val="en-GB"/>
        </w:rPr>
      </w:pPr>
      <w:r w:rsidRPr="0007575D">
        <w:rPr>
          <w:bCs/>
          <w:lang w:val="en-GB"/>
        </w:rPr>
        <w:t>In addition,</w:t>
      </w:r>
      <w:r w:rsidR="003E3F85" w:rsidRPr="0007575D">
        <w:rPr>
          <w:bCs/>
          <w:lang w:val="en-GB"/>
        </w:rPr>
        <w:t xml:space="preserve"> </w:t>
      </w:r>
      <w:r w:rsidRPr="0007575D">
        <w:rPr>
          <w:bCs/>
          <w:lang w:val="en-GB"/>
        </w:rPr>
        <w:t>the Panel recalls</w:t>
      </w:r>
      <w:r w:rsidR="003E3F85" w:rsidRPr="0007575D">
        <w:rPr>
          <w:bCs/>
          <w:lang w:val="en-GB"/>
        </w:rPr>
        <w:t xml:space="preserve"> that almost any investigation at its initial stage lacks a significant amount of information. Finding the </w:t>
      </w:r>
      <w:r w:rsidR="003E3F85" w:rsidRPr="0007575D">
        <w:rPr>
          <w:lang w:val="en-GB"/>
        </w:rPr>
        <w:t>necessary</w:t>
      </w:r>
      <w:r w:rsidR="003E3F85" w:rsidRPr="0007575D">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w:t>
      </w:r>
      <w:r w:rsidR="0007575D" w:rsidRPr="0007575D">
        <w:rPr>
          <w:bCs/>
          <w:lang w:val="en-GB"/>
        </w:rPr>
        <w:t xml:space="preserve"> (see e.g. HRAP, </w:t>
      </w:r>
      <w:r w:rsidR="0007575D" w:rsidRPr="0007575D">
        <w:rPr>
          <w:bCs/>
          <w:i/>
          <w:lang w:val="en-GB"/>
        </w:rPr>
        <w:t>P.S</w:t>
      </w:r>
      <w:r w:rsidR="0007575D" w:rsidRPr="0007575D">
        <w:rPr>
          <w:bCs/>
          <w:lang w:val="en-GB"/>
        </w:rPr>
        <w:t>., no. 48/09, opinion of 31 October 2013, § 107;</w:t>
      </w:r>
      <w:r w:rsidR="0007575D" w:rsidRPr="0007575D">
        <w:t xml:space="preserve"> </w:t>
      </w:r>
      <w:r w:rsidR="0007575D" w:rsidRPr="0007575D">
        <w:rPr>
          <w:bCs/>
          <w:lang w:val="en-GB"/>
        </w:rPr>
        <w:t xml:space="preserve">HRAP, </w:t>
      </w:r>
      <w:r w:rsidR="0007575D" w:rsidRPr="0007575D">
        <w:rPr>
          <w:bCs/>
          <w:i/>
          <w:lang w:val="en-GB"/>
        </w:rPr>
        <w:t>Stevanović</w:t>
      </w:r>
      <w:r w:rsidR="0007575D" w:rsidRPr="0007575D">
        <w:rPr>
          <w:bCs/>
          <w:lang w:val="en-GB"/>
        </w:rPr>
        <w:t>, no. 48/09, opinion of 14 December 2014, § 111).</w:t>
      </w:r>
      <w:r w:rsidR="003E3F85" w:rsidRPr="0007575D">
        <w:rPr>
          <w:bCs/>
          <w:lang w:val="en-GB"/>
        </w:rPr>
        <w:t>In this situation it may have led to</w:t>
      </w:r>
      <w:r w:rsidR="0007575D" w:rsidRPr="0007575D">
        <w:rPr>
          <w:bCs/>
          <w:lang w:val="en-GB"/>
        </w:rPr>
        <w:t xml:space="preserve"> the loss of potential evidence. </w:t>
      </w:r>
      <w:r w:rsidR="00AC35AF" w:rsidRPr="0007575D">
        <w:rPr>
          <w:bCs/>
          <w:lang w:val="en-GB"/>
        </w:rPr>
        <w:t xml:space="preserve">Indeed the Panel notes that witness V.S. died before being interviewed (see § 25 above). </w:t>
      </w:r>
    </w:p>
    <w:p w:rsidR="00884D10" w:rsidRPr="00D25E20" w:rsidRDefault="00884D10" w:rsidP="00884D10">
      <w:pPr>
        <w:tabs>
          <w:tab w:val="left" w:pos="709"/>
        </w:tabs>
        <w:autoSpaceDE w:val="0"/>
        <w:jc w:val="both"/>
        <w:rPr>
          <w:color w:val="000000" w:themeColor="text1"/>
          <w:highlight w:val="yellow"/>
          <w:lang w:val="en-GB"/>
        </w:rPr>
      </w:pPr>
    </w:p>
    <w:p w:rsidR="003E3F85" w:rsidRPr="0007575D" w:rsidRDefault="003E3F85" w:rsidP="00C91261">
      <w:pPr>
        <w:pStyle w:val="ListParagraph"/>
        <w:numPr>
          <w:ilvl w:val="0"/>
          <w:numId w:val="2"/>
        </w:numPr>
        <w:tabs>
          <w:tab w:val="clear" w:pos="360"/>
          <w:tab w:val="num" w:pos="450"/>
        </w:tabs>
        <w:autoSpaceDE w:val="0"/>
        <w:ind w:left="450" w:hanging="450"/>
        <w:jc w:val="both"/>
        <w:rPr>
          <w:lang w:val="en-GB"/>
        </w:rPr>
      </w:pPr>
      <w:r w:rsidRPr="0007575D">
        <w:rPr>
          <w:lang w:val="en-GB"/>
        </w:rPr>
        <w:t xml:space="preserve">The apparent lack of any </w:t>
      </w:r>
      <w:r w:rsidR="00884D10" w:rsidRPr="0007575D">
        <w:rPr>
          <w:bCs/>
        </w:rPr>
        <w:t>adequate</w:t>
      </w:r>
      <w:r w:rsidRPr="0007575D">
        <w:rPr>
          <w:bCs/>
        </w:rPr>
        <w:t xml:space="preserve"> </w:t>
      </w:r>
      <w:r w:rsidRPr="0007575D">
        <w:rPr>
          <w:lang w:val="en-GB"/>
        </w:rPr>
        <w:t xml:space="preserve">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w:t>
      </w:r>
      <w:r w:rsidR="00C329A3" w:rsidRPr="0007575D">
        <w:rPr>
          <w:lang w:val="en-GB"/>
        </w:rPr>
        <w:t>among the criminals and can</w:t>
      </w:r>
      <w:r w:rsidRPr="0007575D">
        <w:rPr>
          <w:lang w:val="en-GB"/>
        </w:rPr>
        <w:t xml:space="preserve"> lead to a worsening of the situation. The problems that UNMIK had encountered at the beginning of its mission, which were discussed above, do not justify such inaction, either at the outset or subsequently.</w:t>
      </w:r>
    </w:p>
    <w:p w:rsidR="003E3F85" w:rsidRPr="0007575D" w:rsidRDefault="003E3F85" w:rsidP="003E3F85">
      <w:pPr>
        <w:tabs>
          <w:tab w:val="left" w:pos="709"/>
        </w:tabs>
        <w:suppressAutoHyphens/>
        <w:autoSpaceDE w:val="0"/>
        <w:ind w:left="450"/>
        <w:jc w:val="both"/>
        <w:rPr>
          <w:lang w:val="en-GB"/>
        </w:rPr>
      </w:pPr>
    </w:p>
    <w:p w:rsidR="003E3F85" w:rsidRPr="0007575D" w:rsidRDefault="003E3F85" w:rsidP="00C91261">
      <w:pPr>
        <w:pStyle w:val="ListParagraph"/>
        <w:numPr>
          <w:ilvl w:val="0"/>
          <w:numId w:val="2"/>
        </w:numPr>
        <w:tabs>
          <w:tab w:val="clear" w:pos="360"/>
          <w:tab w:val="num" w:pos="450"/>
        </w:tabs>
        <w:autoSpaceDE w:val="0"/>
        <w:ind w:left="450" w:hanging="450"/>
        <w:jc w:val="both"/>
        <w:rPr>
          <w:lang w:val="en-GB"/>
        </w:rPr>
      </w:pPr>
      <w:r w:rsidRPr="0007575D">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D746BC" w:rsidRPr="0007575D">
        <w:fldChar w:fldCharType="begin"/>
      </w:r>
      <w:r w:rsidR="00D746BC" w:rsidRPr="0007575D">
        <w:instrText xml:space="preserve"> REF _Ref404684740 \r \h  \* MERGEFORMAT </w:instrText>
      </w:r>
      <w:r w:rsidR="00D746BC" w:rsidRPr="0007575D">
        <w:fldChar w:fldCharType="separate"/>
      </w:r>
      <w:r w:rsidR="002F62D4" w:rsidRPr="002F62D4">
        <w:rPr>
          <w:lang w:val="en-GB"/>
        </w:rPr>
        <w:t>74</w:t>
      </w:r>
      <w:r w:rsidR="00D746BC" w:rsidRPr="0007575D">
        <w:fldChar w:fldCharType="end"/>
      </w:r>
      <w:r w:rsidRPr="0007575D">
        <w:rPr>
          <w:lang w:val="en-GB"/>
        </w:rPr>
        <w:t xml:space="preserve"> above), as required by Article 2 of the ECHR.</w:t>
      </w:r>
    </w:p>
    <w:p w:rsidR="003E3F85" w:rsidRPr="0007575D" w:rsidRDefault="003E3F85" w:rsidP="003E3F85">
      <w:pPr>
        <w:tabs>
          <w:tab w:val="left" w:pos="709"/>
        </w:tabs>
        <w:suppressAutoHyphens/>
        <w:autoSpaceDE w:val="0"/>
        <w:ind w:left="450"/>
        <w:jc w:val="both"/>
        <w:rPr>
          <w:lang w:val="en-GB"/>
        </w:rPr>
      </w:pPr>
    </w:p>
    <w:p w:rsidR="00884D10" w:rsidRPr="000835FA" w:rsidRDefault="003E3F85" w:rsidP="00884D10">
      <w:pPr>
        <w:numPr>
          <w:ilvl w:val="0"/>
          <w:numId w:val="2"/>
        </w:numPr>
        <w:tabs>
          <w:tab w:val="clear" w:pos="360"/>
          <w:tab w:val="left" w:pos="709"/>
        </w:tabs>
        <w:suppressAutoHyphens/>
        <w:autoSpaceDE w:val="0"/>
        <w:ind w:left="450" w:hanging="450"/>
        <w:jc w:val="both"/>
      </w:pPr>
      <w:r w:rsidRPr="0007575D">
        <w:t xml:space="preserve">As </w:t>
      </w:r>
      <w:r w:rsidRPr="0007575D">
        <w:rPr>
          <w:lang w:val="en-GB"/>
        </w:rPr>
        <w:t>concerns</w:t>
      </w:r>
      <w:r w:rsidRPr="0007575D">
        <w:rPr>
          <w:lang w:val="en-GB" w:eastAsia="en-GB"/>
        </w:rPr>
        <w:t xml:space="preserve"> the requirement of </w:t>
      </w:r>
      <w:r w:rsidRPr="0007575D">
        <w:t>public</w:t>
      </w:r>
      <w:r w:rsidRPr="0007575D">
        <w:rPr>
          <w:lang w:val="en-GB" w:eastAsia="en-GB"/>
        </w:rPr>
        <w:t xml:space="preserve"> scrutiny, the Panel recalls that Article 2 also requires </w:t>
      </w:r>
      <w:r w:rsidRPr="0007575D">
        <w:rPr>
          <w:lang w:val="en-GB"/>
        </w:rPr>
        <w:t>the</w:t>
      </w:r>
      <w:r w:rsidRPr="0007575D">
        <w:rPr>
          <w:lang w:val="en-GB" w:eastAsia="en-GB"/>
        </w:rPr>
        <w:t xml:space="preserve"> victims’ next-of-kin to be involved in the investigation to the extent necessary to </w:t>
      </w:r>
      <w:r w:rsidRPr="000835FA">
        <w:rPr>
          <w:lang w:val="en-GB" w:eastAsia="en-GB"/>
        </w:rPr>
        <w:t>safeguard his or her legitimate interests.</w:t>
      </w:r>
    </w:p>
    <w:p w:rsidR="00884D10" w:rsidRPr="000835FA" w:rsidRDefault="00884D10" w:rsidP="00884D10">
      <w:pPr>
        <w:pStyle w:val="ListParagraph"/>
      </w:pPr>
    </w:p>
    <w:p w:rsidR="00CB34A0" w:rsidRPr="000835FA" w:rsidRDefault="00884D10" w:rsidP="00803169">
      <w:pPr>
        <w:numPr>
          <w:ilvl w:val="0"/>
          <w:numId w:val="2"/>
        </w:numPr>
        <w:tabs>
          <w:tab w:val="clear" w:pos="360"/>
          <w:tab w:val="left" w:pos="709"/>
        </w:tabs>
        <w:suppressAutoHyphens/>
        <w:autoSpaceDE w:val="0"/>
        <w:ind w:left="450" w:hanging="450"/>
        <w:jc w:val="both"/>
      </w:pPr>
      <w:r w:rsidRPr="000835FA">
        <w:t xml:space="preserve">The </w:t>
      </w:r>
      <w:r w:rsidR="00875732" w:rsidRPr="000835FA">
        <w:t>complainant states that she is not aware if any investigation about her husband’s abduction and killing was ever conducted by UNMIK or KFOR. The Panel notes that, based on the investigative file,</w:t>
      </w:r>
      <w:r w:rsidRPr="000835FA">
        <w:t xml:space="preserve"> the only contacts between UNMIK investigators and </w:t>
      </w:r>
      <w:r w:rsidR="0007575D" w:rsidRPr="000835FA">
        <w:rPr>
          <w:lang w:val="en-GB"/>
        </w:rPr>
        <w:t>Mr</w:t>
      </w:r>
      <w:r w:rsidR="00D25E20" w:rsidRPr="000835FA">
        <w:rPr>
          <w:lang w:val="en-GB"/>
        </w:rPr>
        <w:t xml:space="preserve"> </w:t>
      </w:r>
      <w:proofErr w:type="spellStart"/>
      <w:r w:rsidR="00D25E20" w:rsidRPr="000835FA">
        <w:rPr>
          <w:lang w:val="en-GB"/>
        </w:rPr>
        <w:t>Ðorđe</w:t>
      </w:r>
      <w:proofErr w:type="spellEnd"/>
      <w:r w:rsidR="00D25E20" w:rsidRPr="000835FA">
        <w:rPr>
          <w:lang w:val="en-GB"/>
        </w:rPr>
        <w:t xml:space="preserve"> </w:t>
      </w:r>
      <w:proofErr w:type="spellStart"/>
      <w:r w:rsidR="00D25E20" w:rsidRPr="000835FA">
        <w:rPr>
          <w:lang w:val="en-GB"/>
        </w:rPr>
        <w:t>Kuzmanović</w:t>
      </w:r>
      <w:proofErr w:type="spellEnd"/>
      <w:r w:rsidR="00D25E20" w:rsidRPr="000835FA">
        <w:t xml:space="preserve">’s </w:t>
      </w:r>
      <w:r w:rsidRPr="000835FA">
        <w:t>family</w:t>
      </w:r>
      <w:r w:rsidR="00D25E20" w:rsidRPr="000835FA">
        <w:t xml:space="preserve"> were the two telephone calls made at the initiative of the </w:t>
      </w:r>
      <w:r w:rsidR="00803169" w:rsidRPr="000835FA">
        <w:rPr>
          <w:lang w:val="en-GB"/>
        </w:rPr>
        <w:t>his</w:t>
      </w:r>
      <w:r w:rsidR="00D25E20" w:rsidRPr="000835FA">
        <w:t xml:space="preserve"> sister</w:t>
      </w:r>
      <w:r w:rsidR="00803169" w:rsidRPr="000835FA">
        <w:t xml:space="preserve"> when she reported the abduction</w:t>
      </w:r>
      <w:r w:rsidR="00D25E20" w:rsidRPr="000835FA">
        <w:t xml:space="preserve"> to UNMIK Police in September 1999 (see § 31 above). </w:t>
      </w:r>
      <w:r w:rsidRPr="000835FA">
        <w:t xml:space="preserve"> No further contact is documented in the file, including</w:t>
      </w:r>
      <w:r w:rsidR="00803169" w:rsidRPr="000835FA">
        <w:t xml:space="preserve"> </w:t>
      </w:r>
      <w:r w:rsidR="0019528F">
        <w:t xml:space="preserve">any </w:t>
      </w:r>
      <w:r w:rsidR="00803169" w:rsidRPr="000835FA">
        <w:t>attempts to contact the</w:t>
      </w:r>
      <w:r w:rsidR="00875732" w:rsidRPr="000835FA">
        <w:t xml:space="preserve"> complainant, or</w:t>
      </w:r>
      <w:r w:rsidR="00803169" w:rsidRPr="000835FA">
        <w:t xml:space="preserve"> </w:t>
      </w:r>
      <w:r w:rsidR="00803169" w:rsidRPr="000835FA">
        <w:rPr>
          <w:lang w:val="en-GB"/>
        </w:rPr>
        <w:t xml:space="preserve">Mr </w:t>
      </w:r>
      <w:proofErr w:type="spellStart"/>
      <w:r w:rsidR="00803169" w:rsidRPr="000835FA">
        <w:rPr>
          <w:lang w:val="en-GB"/>
        </w:rPr>
        <w:t>Ðorđe</w:t>
      </w:r>
      <w:proofErr w:type="spellEnd"/>
      <w:r w:rsidR="00803169" w:rsidRPr="000835FA">
        <w:rPr>
          <w:lang w:val="en-GB"/>
        </w:rPr>
        <w:t xml:space="preserve"> </w:t>
      </w:r>
      <w:proofErr w:type="spellStart"/>
      <w:r w:rsidR="00803169" w:rsidRPr="000835FA">
        <w:rPr>
          <w:lang w:val="en-GB"/>
        </w:rPr>
        <w:t>Kuzmanović</w:t>
      </w:r>
      <w:proofErr w:type="spellEnd"/>
      <w:r w:rsidR="00803169" w:rsidRPr="000835FA">
        <w:t>’s mother, who reportedly witnesse</w:t>
      </w:r>
      <w:r w:rsidR="00875732" w:rsidRPr="000835FA">
        <w:t>d the abduction</w:t>
      </w:r>
      <w:r w:rsidR="00803169" w:rsidRPr="000835FA">
        <w:t>, or</w:t>
      </w:r>
      <w:r w:rsidR="00803169" w:rsidRPr="000835FA">
        <w:rPr>
          <w:lang w:val="en-GB"/>
        </w:rPr>
        <w:t xml:space="preserve"> Mr </w:t>
      </w:r>
      <w:proofErr w:type="spellStart"/>
      <w:r w:rsidR="00803169" w:rsidRPr="000835FA">
        <w:rPr>
          <w:lang w:val="en-GB"/>
        </w:rPr>
        <w:t>Ðorđe</w:t>
      </w:r>
      <w:proofErr w:type="spellEnd"/>
      <w:r w:rsidR="00803169" w:rsidRPr="000835FA">
        <w:rPr>
          <w:lang w:val="en-GB"/>
        </w:rPr>
        <w:t xml:space="preserve"> </w:t>
      </w:r>
      <w:proofErr w:type="spellStart"/>
      <w:r w:rsidR="00803169" w:rsidRPr="000835FA">
        <w:rPr>
          <w:lang w:val="en-GB"/>
        </w:rPr>
        <w:t>Kuzmanović</w:t>
      </w:r>
      <w:proofErr w:type="spellEnd"/>
      <w:r w:rsidR="00803169" w:rsidRPr="000835FA">
        <w:t>’s brother, whose contact details were also provided in the I</w:t>
      </w:r>
      <w:r w:rsidR="00875732" w:rsidRPr="000835FA">
        <w:t xml:space="preserve">CRC Victim </w:t>
      </w:r>
      <w:r w:rsidR="00875732" w:rsidRPr="000835FA">
        <w:lastRenderedPageBreak/>
        <w:t xml:space="preserve">Identification Form. </w:t>
      </w:r>
      <w:r w:rsidR="00875732" w:rsidRPr="000835FA">
        <w:rPr>
          <w:lang w:val="en-GB"/>
        </w:rPr>
        <w:t>In light of the foregoing, the Panel</w:t>
      </w:r>
      <w:r w:rsidRPr="000835FA">
        <w:rPr>
          <w:lang w:val="en-GB"/>
        </w:rPr>
        <w:t xml:space="preserve"> considers that the investigation was not open to any public scrutiny, as required by Article 2 of the ECHR.</w:t>
      </w:r>
      <w:r w:rsidR="00CB34A0" w:rsidRPr="000835FA">
        <w:rPr>
          <w:color w:val="000000" w:themeColor="text1"/>
          <w:lang w:val="en-GB"/>
        </w:rPr>
        <w:t xml:space="preserve"> </w:t>
      </w:r>
    </w:p>
    <w:p w:rsidR="00CB34A0" w:rsidRPr="00803169" w:rsidRDefault="00CB34A0" w:rsidP="00CB34A0">
      <w:pPr>
        <w:pStyle w:val="ListParagraph"/>
        <w:rPr>
          <w:color w:val="000000" w:themeColor="text1"/>
          <w:highlight w:val="yellow"/>
          <w:lang w:val="en-GB"/>
        </w:rPr>
      </w:pPr>
    </w:p>
    <w:p w:rsidR="00357A74" w:rsidRPr="0007575D" w:rsidRDefault="00875732" w:rsidP="00357A74">
      <w:pPr>
        <w:numPr>
          <w:ilvl w:val="0"/>
          <w:numId w:val="2"/>
        </w:numPr>
        <w:tabs>
          <w:tab w:val="clear" w:pos="360"/>
          <w:tab w:val="left" w:pos="709"/>
          <w:tab w:val="num" w:pos="810"/>
          <w:tab w:val="left" w:pos="4860"/>
        </w:tabs>
        <w:suppressAutoHyphens/>
        <w:autoSpaceDE w:val="0"/>
        <w:ind w:left="450" w:hanging="450"/>
        <w:jc w:val="both"/>
        <w:rPr>
          <w:color w:val="FF0000"/>
          <w:lang w:val="en-GB"/>
        </w:rPr>
      </w:pPr>
      <w:r w:rsidRPr="0007575D">
        <w:rPr>
          <w:color w:val="000000" w:themeColor="text1"/>
          <w:lang w:val="en-GB"/>
        </w:rPr>
        <w:t>I</w:t>
      </w:r>
      <w:r w:rsidR="00CB34A0" w:rsidRPr="0007575D">
        <w:rPr>
          <w:color w:val="000000" w:themeColor="text1"/>
          <w:lang w:val="en-GB"/>
        </w:rPr>
        <w:t xml:space="preserve">n light of the shortcomings and deficiencies in the investigation described above, </w:t>
      </w:r>
      <w:r w:rsidRPr="0007575D">
        <w:rPr>
          <w:color w:val="000000" w:themeColor="text1"/>
          <w:lang w:val="en-GB"/>
        </w:rPr>
        <w:t xml:space="preserve">the Panel </w:t>
      </w:r>
      <w:r w:rsidR="00CB34A0" w:rsidRPr="0007575D">
        <w:rPr>
          <w:color w:val="000000" w:themeColor="text1"/>
          <w:lang w:val="en-GB"/>
        </w:rPr>
        <w:t xml:space="preserve">considers that the case of </w:t>
      </w:r>
      <w:r w:rsidR="00803169" w:rsidRPr="0007575D">
        <w:rPr>
          <w:lang w:val="en-GB"/>
        </w:rPr>
        <w:t xml:space="preserve">Mr </w:t>
      </w:r>
      <w:proofErr w:type="spellStart"/>
      <w:r w:rsidR="00803169" w:rsidRPr="0007575D">
        <w:rPr>
          <w:lang w:val="en-GB"/>
        </w:rPr>
        <w:t>Ðorđe</w:t>
      </w:r>
      <w:proofErr w:type="spellEnd"/>
      <w:r w:rsidR="00803169" w:rsidRPr="0007575D">
        <w:rPr>
          <w:lang w:val="en-GB"/>
        </w:rPr>
        <w:t xml:space="preserve"> </w:t>
      </w:r>
      <w:proofErr w:type="spellStart"/>
      <w:r w:rsidR="00803169" w:rsidRPr="0007575D">
        <w:rPr>
          <w:lang w:val="en-GB"/>
        </w:rPr>
        <w:t>Kuzmanović</w:t>
      </w:r>
      <w:proofErr w:type="spellEnd"/>
      <w:r w:rsidR="00CB34A0" w:rsidRPr="0007575D">
        <w:rPr>
          <w:color w:val="000000" w:themeColor="text1"/>
          <w:lang w:val="en-GB"/>
        </w:rPr>
        <w:t xml:space="preserve">, as well as other cases of killings, abductions and disappearances previously examined, well exemplify a pattern </w:t>
      </w:r>
      <w:r w:rsidR="00CB34A0" w:rsidRPr="0007575D">
        <w:t xml:space="preserve">of perfunctory and </w:t>
      </w:r>
      <w:r w:rsidR="00CB34A0" w:rsidRPr="0007575D">
        <w:rPr>
          <w:color w:val="000000" w:themeColor="text1"/>
          <w:lang w:val="en-GB"/>
        </w:rPr>
        <w:t xml:space="preserve">unproductive investigations conducted by the UNMIK Police into killings and disappearances in Kosovo (see § </w:t>
      </w:r>
      <w:r w:rsidR="00D746BC" w:rsidRPr="0007575D">
        <w:fldChar w:fldCharType="begin"/>
      </w:r>
      <w:r w:rsidR="00D746BC" w:rsidRPr="0007575D">
        <w:instrText xml:space="preserve"> REF _Ref403834230 \r \h  \* MERGEFORMAT </w:instrText>
      </w:r>
      <w:r w:rsidR="00D746BC" w:rsidRPr="0007575D">
        <w:fldChar w:fldCharType="separate"/>
      </w:r>
      <w:r w:rsidR="002F62D4" w:rsidRPr="002F62D4">
        <w:rPr>
          <w:color w:val="000000" w:themeColor="text1"/>
          <w:lang w:val="en-GB"/>
        </w:rPr>
        <w:t>88</w:t>
      </w:r>
      <w:r w:rsidR="00D746BC" w:rsidRPr="0007575D">
        <w:fldChar w:fldCharType="end"/>
      </w:r>
      <w:r w:rsidR="00CB34A0" w:rsidRPr="0007575D">
        <w:rPr>
          <w:color w:val="000000" w:themeColor="text1"/>
          <w:lang w:val="en-GB"/>
        </w:rPr>
        <w:t xml:space="preserve"> above; compare with HRC, </w:t>
      </w:r>
      <w:r w:rsidR="00CB34A0" w:rsidRPr="0007575D">
        <w:rPr>
          <w:i/>
          <w:color w:val="000000" w:themeColor="text1"/>
          <w:lang w:val="en-GB"/>
        </w:rPr>
        <w:t>Abubakar Amirov and Aïzan Amirova v. Russian Federation</w:t>
      </w:r>
      <w:r w:rsidR="00CB34A0" w:rsidRPr="0007575D">
        <w:rPr>
          <w:color w:val="000000" w:themeColor="text1"/>
          <w:lang w:val="en-GB"/>
        </w:rPr>
        <w:t xml:space="preserve">, cited in § </w:t>
      </w:r>
      <w:r w:rsidR="00D746BC" w:rsidRPr="0007575D">
        <w:fldChar w:fldCharType="begin"/>
      </w:r>
      <w:r w:rsidR="00D746BC" w:rsidRPr="0007575D">
        <w:instrText xml:space="preserve"> REF _Ref404685440 \r \h  \* MERGEFORMAT </w:instrText>
      </w:r>
      <w:r w:rsidR="00D746BC" w:rsidRPr="0007575D">
        <w:fldChar w:fldCharType="separate"/>
      </w:r>
      <w:r w:rsidR="002F62D4" w:rsidRPr="002F62D4">
        <w:rPr>
          <w:color w:val="000000" w:themeColor="text1"/>
          <w:lang w:val="en-GB"/>
        </w:rPr>
        <w:t>84</w:t>
      </w:r>
      <w:r w:rsidR="00D746BC" w:rsidRPr="0007575D">
        <w:fldChar w:fldCharType="end"/>
      </w:r>
      <w:r w:rsidR="00CB34A0" w:rsidRPr="0007575D">
        <w:rPr>
          <w:color w:val="000000" w:themeColor="text1"/>
          <w:lang w:val="en-GB"/>
        </w:rPr>
        <w:t xml:space="preserve"> above, at § 11.4</w:t>
      </w:r>
      <w:r w:rsidR="00357A74" w:rsidRPr="0007575D">
        <w:rPr>
          <w:color w:val="000000" w:themeColor="text1"/>
          <w:lang w:val="en-GB"/>
        </w:rPr>
        <w:t xml:space="preserve">; </w:t>
      </w:r>
      <w:r w:rsidR="00357A74" w:rsidRPr="0007575D">
        <w:rPr>
          <w:color w:val="000000"/>
          <w:lang w:val="en-GB"/>
        </w:rPr>
        <w:t xml:space="preserve">see also HRAP, </w:t>
      </w:r>
      <w:r w:rsidR="00357A74" w:rsidRPr="0007575D">
        <w:rPr>
          <w:i/>
          <w:color w:val="000000"/>
          <w:lang w:val="en-GB"/>
        </w:rPr>
        <w:t>Bulatović</w:t>
      </w:r>
      <w:r w:rsidR="00357A74" w:rsidRPr="0007575D">
        <w:rPr>
          <w:color w:val="000000"/>
          <w:lang w:val="en-GB"/>
        </w:rPr>
        <w:t>, no. 166/09, opinion of 13 November 2014, §§ 85 and 101).</w:t>
      </w:r>
    </w:p>
    <w:p w:rsidR="003E3F85" w:rsidRPr="0007575D" w:rsidRDefault="003E3F85" w:rsidP="003E3F85">
      <w:pPr>
        <w:pStyle w:val="ListParagraph"/>
        <w:rPr>
          <w:lang w:val="en-GB"/>
        </w:rPr>
      </w:pPr>
    </w:p>
    <w:p w:rsidR="003E3F85" w:rsidRPr="0007575D" w:rsidRDefault="00CB34A0" w:rsidP="003B3907">
      <w:pPr>
        <w:numPr>
          <w:ilvl w:val="0"/>
          <w:numId w:val="2"/>
        </w:numPr>
        <w:tabs>
          <w:tab w:val="clear" w:pos="360"/>
          <w:tab w:val="left" w:pos="709"/>
        </w:tabs>
        <w:suppressAutoHyphens/>
        <w:autoSpaceDE w:val="0"/>
        <w:ind w:left="450" w:hanging="450"/>
        <w:jc w:val="both"/>
        <w:rPr>
          <w:lang w:val="en-GB"/>
        </w:rPr>
      </w:pPr>
      <w:r w:rsidRPr="0007575D">
        <w:rPr>
          <w:lang w:val="en-GB"/>
        </w:rPr>
        <w:t xml:space="preserve">Therefore, </w:t>
      </w:r>
      <w:r w:rsidR="003E3F85" w:rsidRPr="0007575D">
        <w:rPr>
          <w:lang w:val="en-GB"/>
        </w:rPr>
        <w:t xml:space="preserve">the Panel concludes that UNMIK failed to carry out an </w:t>
      </w:r>
      <w:r w:rsidR="003E3F85" w:rsidRPr="0007575D">
        <w:rPr>
          <w:lang w:val="en-GB" w:eastAsia="en-GB"/>
        </w:rPr>
        <w:t>effective</w:t>
      </w:r>
      <w:r w:rsidR="003E3F85" w:rsidRPr="0007575D">
        <w:rPr>
          <w:lang w:val="en-GB"/>
        </w:rPr>
        <w:t xml:space="preserve"> investigation into the </w:t>
      </w:r>
      <w:r w:rsidR="00954A3E" w:rsidRPr="0007575D">
        <w:rPr>
          <w:bCs/>
          <w:lang w:val="en-GB"/>
        </w:rPr>
        <w:t>abduction</w:t>
      </w:r>
      <w:r w:rsidR="00622236" w:rsidRPr="0007575D">
        <w:rPr>
          <w:bCs/>
          <w:lang w:val="en-GB"/>
        </w:rPr>
        <w:t xml:space="preserve"> and </w:t>
      </w:r>
      <w:r w:rsidR="00803169" w:rsidRPr="0007575D">
        <w:rPr>
          <w:bCs/>
          <w:lang w:val="en-GB"/>
        </w:rPr>
        <w:t>killing</w:t>
      </w:r>
      <w:r w:rsidR="003E3F85" w:rsidRPr="0007575D">
        <w:rPr>
          <w:bCs/>
          <w:lang w:val="en-GB"/>
        </w:rPr>
        <w:t xml:space="preserve"> of </w:t>
      </w:r>
      <w:r w:rsidR="00803169" w:rsidRPr="0007575D">
        <w:rPr>
          <w:lang w:val="en-GB"/>
        </w:rPr>
        <w:t xml:space="preserve">Mr </w:t>
      </w:r>
      <w:proofErr w:type="spellStart"/>
      <w:r w:rsidR="00803169" w:rsidRPr="0007575D">
        <w:rPr>
          <w:lang w:val="en-GB"/>
        </w:rPr>
        <w:t>Ðorđe</w:t>
      </w:r>
      <w:proofErr w:type="spellEnd"/>
      <w:r w:rsidR="00803169" w:rsidRPr="0007575D">
        <w:rPr>
          <w:lang w:val="en-GB"/>
        </w:rPr>
        <w:t xml:space="preserve"> </w:t>
      </w:r>
      <w:proofErr w:type="spellStart"/>
      <w:r w:rsidR="00803169" w:rsidRPr="0007575D">
        <w:rPr>
          <w:lang w:val="en-GB"/>
        </w:rPr>
        <w:t>Kuzmanović</w:t>
      </w:r>
      <w:proofErr w:type="spellEnd"/>
      <w:r w:rsidR="004F45E5" w:rsidRPr="0007575D">
        <w:t xml:space="preserve">. </w:t>
      </w:r>
      <w:r w:rsidR="003E3F85" w:rsidRPr="0007575D">
        <w:rPr>
          <w:lang w:val="en-GB"/>
        </w:rPr>
        <w:t xml:space="preserve">There </w:t>
      </w:r>
      <w:r w:rsidR="003E3F85" w:rsidRPr="0007575D">
        <w:rPr>
          <w:lang w:val="en-GB" w:eastAsia="en-GB"/>
        </w:rPr>
        <w:t>has</w:t>
      </w:r>
      <w:r w:rsidR="003E3F85" w:rsidRPr="0007575D">
        <w:rPr>
          <w:lang w:val="en-GB"/>
        </w:rPr>
        <w:t xml:space="preserve"> accordingly been a violation of Article 2, procedural limb, of the ECHR. </w:t>
      </w:r>
    </w:p>
    <w:p w:rsidR="003E3F85" w:rsidRPr="00393E7A" w:rsidRDefault="003E3F85" w:rsidP="003E3F85">
      <w:pPr>
        <w:tabs>
          <w:tab w:val="left" w:pos="630"/>
          <w:tab w:val="left" w:pos="2790"/>
        </w:tabs>
        <w:suppressAutoHyphens/>
        <w:autoSpaceDE w:val="0"/>
        <w:jc w:val="both"/>
        <w:rPr>
          <w:lang w:val="en-GB"/>
        </w:rPr>
      </w:pPr>
    </w:p>
    <w:p w:rsidR="003E3F85" w:rsidRPr="00393E7A" w:rsidRDefault="003E3F85" w:rsidP="003E3F85">
      <w:pPr>
        <w:tabs>
          <w:tab w:val="left" w:pos="630"/>
          <w:tab w:val="left" w:pos="2790"/>
        </w:tabs>
        <w:suppressAutoHyphens/>
        <w:autoSpaceDE w:val="0"/>
        <w:jc w:val="both"/>
        <w:rPr>
          <w:lang w:val="en-GB"/>
        </w:rPr>
      </w:pPr>
    </w:p>
    <w:p w:rsidR="003E3F85" w:rsidRPr="00393E7A" w:rsidRDefault="003E3F85" w:rsidP="003E3F85">
      <w:pPr>
        <w:pStyle w:val="ListParagraph"/>
        <w:ind w:left="0"/>
        <w:rPr>
          <w:b/>
          <w:lang w:val="en-GB"/>
        </w:rPr>
      </w:pPr>
      <w:r w:rsidRPr="00393E7A">
        <w:rPr>
          <w:b/>
          <w:lang w:val="en-GB"/>
        </w:rPr>
        <w:t>V. CONCLUDING COMMENTS AND RECOMMENDATIONS</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t>In light of the Panel’s findings in this case, the Panel is of the opinion that some form of reparation is necessary.</w:t>
      </w:r>
    </w:p>
    <w:p w:rsidR="003E3F85" w:rsidRPr="00393E7A" w:rsidRDefault="003E3F85" w:rsidP="003E3F85">
      <w:pPr>
        <w:autoSpaceDE w:val="0"/>
        <w:jc w:val="both"/>
        <w:rPr>
          <w:b/>
          <w:bCs/>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Cs/>
          <w:lang w:val="en-GB"/>
        </w:rPr>
      </w:pPr>
      <w:r w:rsidRPr="00393E7A">
        <w:rPr>
          <w:bCs/>
          <w:lang w:val="en-GB"/>
        </w:rPr>
        <w:t xml:space="preserve">The </w:t>
      </w:r>
      <w:r w:rsidRPr="00393E7A">
        <w:rPr>
          <w:lang w:val="en-GB"/>
        </w:rPr>
        <w:t>Panel</w:t>
      </w:r>
      <w:r w:rsidRPr="00393E7A">
        <w:rPr>
          <w:bCs/>
          <w:lang w:val="en-GB"/>
        </w:rPr>
        <w:t xml:space="preserve"> notes the SRSG’s own concerns that the inadequate resources, especially at the outset of </w:t>
      </w:r>
      <w:r w:rsidRPr="00393E7A">
        <w:rPr>
          <w:lang w:val="en-GB"/>
        </w:rPr>
        <w:t>UNMIK’s</w:t>
      </w:r>
      <w:r w:rsidRPr="00393E7A">
        <w:rPr>
          <w:bCs/>
          <w:lang w:val="en-GB"/>
        </w:rPr>
        <w:t xml:space="preserve"> </w:t>
      </w:r>
      <w:r w:rsidRPr="00393E7A">
        <w:rPr>
          <w:lang w:val="en-GB"/>
        </w:rPr>
        <w:t>mission</w:t>
      </w:r>
      <w:r w:rsidRPr="00393E7A">
        <w:rPr>
          <w:bCs/>
          <w:lang w:val="en-GB"/>
        </w:rPr>
        <w:t>, made compliance with UNMIK’s human rights obligations difficult to achieve.</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lang w:val="en-GB"/>
        </w:rPr>
      </w:pPr>
      <w:r w:rsidRPr="00393E7A">
        <w:rPr>
          <w:lang w:val="en-GB"/>
        </w:rPr>
        <w:t xml:space="preserve">It would normally be for UNMIK to take the appropriate measures in order to put an end to the violation noted and to redress as far as possible the effects thereof. However, as the Panel noted above (see § </w:t>
      </w:r>
      <w:r w:rsidR="00D746BC">
        <w:fldChar w:fldCharType="begin"/>
      </w:r>
      <w:r w:rsidR="00D746BC">
        <w:instrText xml:space="preserve"> REF _Ref346123927 \r \h  \* MERGEFORMAT </w:instrText>
      </w:r>
      <w:r w:rsidR="00D746BC">
        <w:fldChar w:fldCharType="separate"/>
      </w:r>
      <w:r w:rsidR="002F62D4" w:rsidRPr="002F62D4">
        <w:rPr>
          <w:lang w:val="en-GB"/>
        </w:rPr>
        <w:t>21</w:t>
      </w:r>
      <w:r w:rsidR="00D746BC">
        <w:fldChar w:fldCharType="end"/>
      </w:r>
      <w:r w:rsidRPr="00393E7A">
        <w:rPr>
          <w:lang w:val="en-GB"/>
        </w:rPr>
        <w:t>),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w:t>
      </w:r>
      <w:r w:rsidR="00423598" w:rsidRPr="00393E7A">
        <w:rPr>
          <w:lang w:val="en-GB"/>
        </w:rPr>
        <w:t xml:space="preserve"> unilateral</w:t>
      </w:r>
      <w:r w:rsidRPr="00393E7A">
        <w:rPr>
          <w:lang w:val="en-GB"/>
        </w:rPr>
        <w:t xml:space="preserv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lastRenderedPageBreak/>
        <w:t xml:space="preserve">The Panel considers that this factual situation does not relieve UNMIK from its obligation to redress as far as possible the effects of the violations for which it is responsible. </w:t>
      </w:r>
    </w:p>
    <w:p w:rsidR="003E3F85" w:rsidRPr="00393E7A" w:rsidRDefault="003E3F85" w:rsidP="003E3F85">
      <w:pPr>
        <w:rPr>
          <w:b/>
          <w:bCs/>
          <w:lang w:val="en-GB"/>
        </w:rPr>
      </w:pPr>
    </w:p>
    <w:p w:rsidR="003E3F85" w:rsidRPr="00393E7A" w:rsidRDefault="003E3F85" w:rsidP="003E3F85">
      <w:pPr>
        <w:suppressAutoHyphens/>
        <w:autoSpaceDE w:val="0"/>
        <w:ind w:left="450"/>
        <w:jc w:val="both"/>
        <w:rPr>
          <w:b/>
          <w:bCs/>
          <w:lang w:val="en-GB"/>
        </w:rPr>
      </w:pPr>
      <w:r w:rsidRPr="00393E7A">
        <w:rPr>
          <w:b/>
          <w:bCs/>
          <w:lang w:val="en-GB"/>
        </w:rPr>
        <w:t>With respect to the complainant and the case the Panel considers appropriate that UNMIK:</w:t>
      </w:r>
    </w:p>
    <w:p w:rsidR="003E3F85" w:rsidRPr="00393E7A" w:rsidRDefault="003E3F85" w:rsidP="003E3F85">
      <w:pPr>
        <w:pStyle w:val="ListParagraph"/>
        <w:rPr>
          <w:b/>
          <w:bCs/>
          <w:lang w:val="en-GB"/>
        </w:rPr>
      </w:pPr>
    </w:p>
    <w:p w:rsidR="003E3F85" w:rsidRPr="0007575D" w:rsidRDefault="003E3F85" w:rsidP="003E3F85">
      <w:pPr>
        <w:numPr>
          <w:ilvl w:val="0"/>
          <w:numId w:val="8"/>
        </w:numPr>
        <w:tabs>
          <w:tab w:val="left" w:pos="900"/>
        </w:tabs>
        <w:suppressAutoHyphens/>
        <w:autoSpaceDE w:val="0"/>
        <w:ind w:left="720" w:firstLine="0"/>
        <w:jc w:val="both"/>
        <w:rPr>
          <w:b/>
          <w:bCs/>
          <w:lang w:val="en-GB"/>
        </w:rPr>
      </w:pPr>
      <w:r w:rsidRPr="0007575D">
        <w:rPr>
          <w:lang w:val="en-GB"/>
        </w:rPr>
        <w:t xml:space="preserve">In line with the case law of the European Court of Human Rights on situations of limited State jurisdiction (see ECtHR [GC], </w:t>
      </w:r>
      <w:r w:rsidRPr="0007575D">
        <w:rPr>
          <w:i/>
          <w:lang w:val="en-GB"/>
        </w:rPr>
        <w:t>Ilaşcu and Others v. Moldova and Russia</w:t>
      </w:r>
      <w:r w:rsidRPr="0007575D">
        <w:rPr>
          <w:lang w:val="en-GB"/>
        </w:rPr>
        <w:t xml:space="preserve">, no. 48787/99, judgment of 8 July 2004, </w:t>
      </w:r>
      <w:r w:rsidRPr="0007575D">
        <w:rPr>
          <w:i/>
          <w:lang w:val="en-GB"/>
        </w:rPr>
        <w:t>ECHR</w:t>
      </w:r>
      <w:r w:rsidRPr="0007575D">
        <w:rPr>
          <w:lang w:val="en-GB"/>
        </w:rPr>
        <w:t xml:space="preserve">, 2004-VII, § 333; ECtHR, </w:t>
      </w:r>
      <w:r w:rsidRPr="0007575D">
        <w:rPr>
          <w:i/>
          <w:lang w:val="en-GB"/>
        </w:rPr>
        <w:t>Al-Saadoon and Mufdhi v. United Kingdom</w:t>
      </w:r>
      <w:r w:rsidRPr="0007575D">
        <w:rPr>
          <w:lang w:val="en-GB"/>
        </w:rPr>
        <w:t xml:space="preserve">, no. 61498/08, judgment of 2 March 2010, § 171; ECtHR [GC], </w:t>
      </w:r>
      <w:r w:rsidRPr="0007575D">
        <w:rPr>
          <w:i/>
          <w:lang w:val="en-GB"/>
        </w:rPr>
        <w:t>Catan and Others v. Moldova and Russia</w:t>
      </w:r>
      <w:r w:rsidRPr="0007575D">
        <w:rPr>
          <w:lang w:val="en-GB"/>
        </w:rPr>
        <w:t xml:space="preserve">, nos. 43370/04, 8252/05 and 18454/06, judgment of 19 October 2012, § 109), must endeavour, with all means available to it </w:t>
      </w:r>
      <w:r w:rsidRPr="0007575D">
        <w:rPr>
          <w:i/>
          <w:lang w:val="en-GB"/>
        </w:rPr>
        <w:t>vis-à-vis</w:t>
      </w:r>
      <w:r w:rsidRPr="0007575D">
        <w:rPr>
          <w:lang w:val="en-GB"/>
        </w:rPr>
        <w:t xml:space="preserve"> the competent authorities in Kosovo, to obtain assurances that the investigations concerning the case at issue will be continued in compliance with the requirements of an effective investigation as envisaged by Article 2, that the circumstances surrounding the </w:t>
      </w:r>
      <w:r w:rsidR="00954A3E" w:rsidRPr="0007575D">
        <w:rPr>
          <w:lang w:val="en-GB"/>
        </w:rPr>
        <w:t>abduction</w:t>
      </w:r>
      <w:r w:rsidR="00803169" w:rsidRPr="0007575D">
        <w:rPr>
          <w:lang w:val="en-GB"/>
        </w:rPr>
        <w:t xml:space="preserve"> and killing</w:t>
      </w:r>
      <w:r w:rsidR="00423598" w:rsidRPr="0007575D">
        <w:rPr>
          <w:lang w:val="en-GB"/>
        </w:rPr>
        <w:t xml:space="preserve"> of</w:t>
      </w:r>
      <w:r w:rsidRPr="0007575D">
        <w:rPr>
          <w:lang w:val="en-GB"/>
        </w:rPr>
        <w:t xml:space="preserve"> </w:t>
      </w:r>
      <w:r w:rsidR="00803169" w:rsidRPr="0007575D">
        <w:rPr>
          <w:lang w:val="en-GB"/>
        </w:rPr>
        <w:t xml:space="preserve">Mr </w:t>
      </w:r>
      <w:proofErr w:type="spellStart"/>
      <w:r w:rsidR="00803169" w:rsidRPr="0007575D">
        <w:rPr>
          <w:lang w:val="en-GB"/>
        </w:rPr>
        <w:t>Ðorđe</w:t>
      </w:r>
      <w:proofErr w:type="spellEnd"/>
      <w:r w:rsidR="00803169" w:rsidRPr="0007575D">
        <w:rPr>
          <w:lang w:val="en-GB"/>
        </w:rPr>
        <w:t xml:space="preserve"> </w:t>
      </w:r>
      <w:proofErr w:type="spellStart"/>
      <w:r w:rsidR="00803169" w:rsidRPr="0007575D">
        <w:rPr>
          <w:lang w:val="en-GB"/>
        </w:rPr>
        <w:t>Kuzmanović</w:t>
      </w:r>
      <w:proofErr w:type="spellEnd"/>
      <w:r w:rsidR="00803169" w:rsidRPr="0007575D">
        <w:t xml:space="preserve"> </w:t>
      </w:r>
      <w:r w:rsidRPr="0007575D">
        <w:rPr>
          <w:lang w:val="en-GB"/>
        </w:rPr>
        <w:t>will be established and that perpetrators will be brou</w:t>
      </w:r>
      <w:r w:rsidR="002948A6" w:rsidRPr="0007575D">
        <w:rPr>
          <w:lang w:val="en-GB"/>
        </w:rPr>
        <w:t xml:space="preserve">ght to justice. The complainant </w:t>
      </w:r>
      <w:r w:rsidRPr="0007575D">
        <w:rPr>
          <w:lang w:val="en-GB"/>
        </w:rPr>
        <w:t>and/or other next-of-kin shall be informed of such proceedings and relevant documents shall be disclosed to them, as necessary;</w:t>
      </w:r>
    </w:p>
    <w:p w:rsidR="003E3F85" w:rsidRPr="0007575D" w:rsidRDefault="003E3F85" w:rsidP="003E3F85">
      <w:pPr>
        <w:suppressAutoHyphens/>
        <w:autoSpaceDE w:val="0"/>
        <w:ind w:left="709" w:hanging="270"/>
        <w:jc w:val="both"/>
        <w:rPr>
          <w:b/>
          <w:bCs/>
          <w:lang w:val="en-GB"/>
        </w:rPr>
      </w:pPr>
    </w:p>
    <w:p w:rsidR="003E3F85" w:rsidRPr="0007575D" w:rsidRDefault="003E3F85" w:rsidP="003E3F85">
      <w:pPr>
        <w:numPr>
          <w:ilvl w:val="0"/>
          <w:numId w:val="8"/>
        </w:numPr>
        <w:tabs>
          <w:tab w:val="left" w:pos="900"/>
        </w:tabs>
        <w:suppressAutoHyphens/>
        <w:autoSpaceDE w:val="0"/>
        <w:ind w:left="720" w:firstLine="0"/>
        <w:jc w:val="both"/>
        <w:rPr>
          <w:lang w:val="en-GB"/>
        </w:rPr>
      </w:pPr>
      <w:r w:rsidRPr="0007575D">
        <w:rPr>
          <w:lang w:val="en-GB"/>
        </w:rPr>
        <w:t>Publicly acknowledges,</w:t>
      </w:r>
      <w:r w:rsidR="0034188D" w:rsidRPr="0007575D">
        <w:rPr>
          <w:lang w:val="en-GB"/>
        </w:rPr>
        <w:t xml:space="preserve"> </w:t>
      </w:r>
      <w:r w:rsidR="0034188D" w:rsidRPr="0007575D">
        <w:rPr>
          <w:bCs/>
          <w:color w:val="000000" w:themeColor="text1"/>
          <w:lang w:val="en-GB"/>
        </w:rPr>
        <w:t>including through media,</w:t>
      </w:r>
      <w:r w:rsidRPr="0007575D">
        <w:rPr>
          <w:lang w:val="en-GB"/>
        </w:rPr>
        <w:t xml:space="preserve"> within a reasonable time, responsibility with respect to UNMIK’s failure to adequately investigate the </w:t>
      </w:r>
      <w:r w:rsidR="00954A3E" w:rsidRPr="0007575D">
        <w:rPr>
          <w:lang w:val="en-GB"/>
        </w:rPr>
        <w:t>abduction</w:t>
      </w:r>
      <w:r w:rsidR="00803169" w:rsidRPr="0007575D">
        <w:rPr>
          <w:lang w:val="en-GB"/>
        </w:rPr>
        <w:t xml:space="preserve"> and killing</w:t>
      </w:r>
      <w:r w:rsidR="00622236" w:rsidRPr="0007575D">
        <w:rPr>
          <w:lang w:val="en-GB"/>
        </w:rPr>
        <w:t xml:space="preserve"> of</w:t>
      </w:r>
      <w:r w:rsidR="00622236" w:rsidRPr="0007575D">
        <w:rPr>
          <w:bCs/>
          <w:lang w:val="en-GB"/>
        </w:rPr>
        <w:t xml:space="preserve"> </w:t>
      </w:r>
      <w:r w:rsidR="00803169" w:rsidRPr="0007575D">
        <w:rPr>
          <w:lang w:val="en-GB"/>
        </w:rPr>
        <w:t xml:space="preserve">Mr </w:t>
      </w:r>
      <w:proofErr w:type="spellStart"/>
      <w:r w:rsidR="00803169" w:rsidRPr="0007575D">
        <w:rPr>
          <w:lang w:val="en-GB"/>
        </w:rPr>
        <w:t>Ðorđe</w:t>
      </w:r>
      <w:proofErr w:type="spellEnd"/>
      <w:r w:rsidR="00803169" w:rsidRPr="0007575D">
        <w:rPr>
          <w:lang w:val="en-GB"/>
        </w:rPr>
        <w:t xml:space="preserve"> </w:t>
      </w:r>
      <w:proofErr w:type="spellStart"/>
      <w:r w:rsidR="00803169" w:rsidRPr="0007575D">
        <w:rPr>
          <w:lang w:val="en-GB"/>
        </w:rPr>
        <w:t>Kuzmanović</w:t>
      </w:r>
      <w:proofErr w:type="spellEnd"/>
      <w:r w:rsidR="00803169" w:rsidRPr="0007575D">
        <w:t xml:space="preserve"> </w:t>
      </w:r>
      <w:r w:rsidRPr="0007575D">
        <w:rPr>
          <w:lang w:val="en-GB"/>
        </w:rPr>
        <w:t xml:space="preserve">and make a public apology to the complainant and </w:t>
      </w:r>
      <w:r w:rsidR="006B7095" w:rsidRPr="0007575D">
        <w:rPr>
          <w:lang w:val="en-GB"/>
        </w:rPr>
        <w:t>her</w:t>
      </w:r>
      <w:r w:rsidRPr="0007575D">
        <w:rPr>
          <w:lang w:val="en-GB"/>
        </w:rPr>
        <w:t xml:space="preserve"> family in this regard; </w:t>
      </w:r>
    </w:p>
    <w:p w:rsidR="003E3F85" w:rsidRPr="00393E7A" w:rsidRDefault="003E3F85" w:rsidP="003E3F85">
      <w:pPr>
        <w:suppressAutoHyphens/>
        <w:autoSpaceDE w:val="0"/>
        <w:ind w:left="709" w:hanging="270"/>
        <w:jc w:val="both"/>
        <w:rPr>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Takes appropriate steps towards payment of adequate compensation to the complainant for the moral damage suffered due to UNMIK’s failure to conduct an effective investigation.</w:t>
      </w:r>
    </w:p>
    <w:p w:rsidR="003E3F85" w:rsidRPr="00393E7A" w:rsidRDefault="003E3F85" w:rsidP="003E3F85">
      <w:pPr>
        <w:suppressAutoHyphens/>
        <w:autoSpaceDE w:val="0"/>
        <w:ind w:left="360"/>
        <w:jc w:val="both"/>
        <w:rPr>
          <w:b/>
          <w:bCs/>
          <w:lang w:val="en-GB"/>
        </w:rPr>
      </w:pPr>
    </w:p>
    <w:p w:rsidR="003E3F85" w:rsidRPr="00393E7A" w:rsidRDefault="003E3F85" w:rsidP="003E3F85">
      <w:pPr>
        <w:suppressAutoHyphens/>
        <w:autoSpaceDE w:val="0"/>
        <w:ind w:left="450"/>
        <w:jc w:val="both"/>
        <w:rPr>
          <w:b/>
          <w:bCs/>
          <w:lang w:val="en-GB"/>
        </w:rPr>
      </w:pPr>
      <w:r w:rsidRPr="00393E7A">
        <w:rPr>
          <w:b/>
          <w:bCs/>
          <w:lang w:val="en-GB"/>
        </w:rPr>
        <w:t>The Panel also considers appropriate that UNMIK:</w:t>
      </w:r>
    </w:p>
    <w:p w:rsidR="003E3F85" w:rsidRPr="00393E7A" w:rsidRDefault="003E3F85" w:rsidP="003E3F85">
      <w:pPr>
        <w:tabs>
          <w:tab w:val="left" w:pos="900"/>
        </w:tabs>
        <w:suppressAutoHyphens/>
        <w:autoSpaceDE w:val="0"/>
        <w:ind w:left="720"/>
        <w:jc w:val="both"/>
        <w:rPr>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E3F85" w:rsidRPr="00393E7A" w:rsidRDefault="003E3F85" w:rsidP="003E3F85">
      <w:pPr>
        <w:tabs>
          <w:tab w:val="left" w:pos="900"/>
        </w:tabs>
        <w:suppressAutoHyphens/>
        <w:autoSpaceDE w:val="0"/>
        <w:ind w:left="720"/>
        <w:jc w:val="both"/>
        <w:rPr>
          <w:lang w:val="en-GB"/>
        </w:rPr>
      </w:pPr>
    </w:p>
    <w:p w:rsidR="003E3F85" w:rsidRDefault="003E3F85" w:rsidP="003E3F85">
      <w:pPr>
        <w:numPr>
          <w:ilvl w:val="0"/>
          <w:numId w:val="8"/>
        </w:numPr>
        <w:tabs>
          <w:tab w:val="left" w:pos="900"/>
        </w:tabs>
        <w:suppressAutoHyphens/>
        <w:autoSpaceDE w:val="0"/>
        <w:ind w:left="720" w:firstLine="0"/>
        <w:jc w:val="both"/>
        <w:rPr>
          <w:lang w:val="en-GB"/>
        </w:rPr>
      </w:pPr>
      <w:r w:rsidRPr="00393E7A">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r w:rsidR="00357A74">
        <w:rPr>
          <w:lang w:val="en-GB"/>
        </w:rPr>
        <w:t>.</w:t>
      </w:r>
    </w:p>
    <w:p w:rsidR="00C91261" w:rsidRPr="00393E7A" w:rsidRDefault="00C91261" w:rsidP="00C91261">
      <w:pPr>
        <w:pStyle w:val="ListParagraph"/>
        <w:rPr>
          <w:lang w:val="en-GB"/>
        </w:rPr>
      </w:pPr>
    </w:p>
    <w:p w:rsidR="003E3F85" w:rsidRPr="00393E7A" w:rsidRDefault="003E3F85" w:rsidP="003E3F85">
      <w:pPr>
        <w:pStyle w:val="Normal1"/>
        <w:spacing w:before="0" w:beforeAutospacing="0" w:after="0" w:afterAutospacing="0"/>
        <w:jc w:val="both"/>
        <w:rPr>
          <w:b/>
          <w:lang w:val="en-GB"/>
        </w:rPr>
      </w:pPr>
      <w:r w:rsidRPr="00393E7A">
        <w:rPr>
          <w:b/>
          <w:lang w:val="en-GB"/>
        </w:rPr>
        <w:lastRenderedPageBreak/>
        <w:t>FOR THESE REASONS,</w:t>
      </w:r>
    </w:p>
    <w:p w:rsidR="003E3F85" w:rsidRPr="00393E7A" w:rsidRDefault="003E3F85" w:rsidP="003E3F85">
      <w:pPr>
        <w:pStyle w:val="Normal1"/>
        <w:spacing w:before="0" w:beforeAutospacing="0" w:after="0" w:afterAutospacing="0"/>
        <w:jc w:val="both"/>
        <w:rPr>
          <w:b/>
          <w:lang w:val="en-GB"/>
        </w:rPr>
      </w:pPr>
    </w:p>
    <w:p w:rsidR="003E3F85" w:rsidRPr="00393E7A" w:rsidRDefault="003E3F85" w:rsidP="003E3F85">
      <w:pPr>
        <w:pStyle w:val="Normal1"/>
        <w:spacing w:before="0" w:beforeAutospacing="0" w:after="0" w:afterAutospacing="0"/>
        <w:jc w:val="both"/>
        <w:rPr>
          <w:b/>
          <w:lang w:val="en-GB"/>
        </w:rPr>
      </w:pPr>
    </w:p>
    <w:p w:rsidR="003E3F85" w:rsidRPr="00393E7A" w:rsidRDefault="003E3F85" w:rsidP="003E3F85">
      <w:pPr>
        <w:autoSpaceDE w:val="0"/>
        <w:autoSpaceDN w:val="0"/>
        <w:adjustRightInd w:val="0"/>
        <w:jc w:val="both"/>
        <w:rPr>
          <w:lang w:val="en-GB"/>
        </w:rPr>
      </w:pPr>
      <w:r w:rsidRPr="00393E7A">
        <w:rPr>
          <w:lang w:val="en-GB"/>
        </w:rPr>
        <w:t>The Panel, unanimously,</w:t>
      </w:r>
    </w:p>
    <w:p w:rsidR="003E3F85" w:rsidRPr="00393E7A" w:rsidRDefault="003E3F85" w:rsidP="003E3F85">
      <w:pPr>
        <w:autoSpaceDE w:val="0"/>
        <w:autoSpaceDN w:val="0"/>
        <w:adjustRightInd w:val="0"/>
        <w:jc w:val="both"/>
        <w:rPr>
          <w:lang w:val="en-GB"/>
        </w:rPr>
      </w:pPr>
      <w:r w:rsidRPr="00393E7A">
        <w:rPr>
          <w:lang w:val="en-GB"/>
        </w:rPr>
        <w:t xml:space="preserve"> </w:t>
      </w:r>
    </w:p>
    <w:p w:rsidR="003E3F85" w:rsidRPr="00393E7A" w:rsidRDefault="003E3F85" w:rsidP="003E3F85">
      <w:pPr>
        <w:autoSpaceDE w:val="0"/>
        <w:autoSpaceDN w:val="0"/>
        <w:adjustRightInd w:val="0"/>
        <w:jc w:val="both"/>
        <w:rPr>
          <w:lang w:val="en-GB"/>
        </w:rPr>
      </w:pPr>
    </w:p>
    <w:p w:rsidR="003E3F85" w:rsidRPr="0007575D" w:rsidRDefault="003E3F85" w:rsidP="003E3F85">
      <w:pPr>
        <w:pStyle w:val="JuList"/>
        <w:numPr>
          <w:ilvl w:val="0"/>
          <w:numId w:val="5"/>
        </w:numPr>
        <w:tabs>
          <w:tab w:val="clear" w:pos="567"/>
          <w:tab w:val="num" w:pos="-142"/>
        </w:tabs>
        <w:ind w:left="284" w:hanging="284"/>
        <w:rPr>
          <w:b/>
        </w:rPr>
      </w:pPr>
      <w:r w:rsidRPr="0007575D">
        <w:rPr>
          <w:b/>
        </w:rPr>
        <w:t>FINDS THAT THERE HAS BEEN A VIOLATION OF THE PROCEDURAL OBLIGATION UNDER ARTICLE 2 OF THE EUROPEAN CONVENTION ON HUMAN RIGHTS;</w:t>
      </w:r>
    </w:p>
    <w:p w:rsidR="003E3F85" w:rsidRPr="0007575D" w:rsidRDefault="003E3F85" w:rsidP="003E3F85">
      <w:pPr>
        <w:pStyle w:val="JuList"/>
        <w:tabs>
          <w:tab w:val="num" w:pos="360"/>
        </w:tabs>
        <w:ind w:left="360" w:hanging="360"/>
        <w:rPr>
          <w:b/>
        </w:rPr>
      </w:pPr>
    </w:p>
    <w:p w:rsidR="003E3F85" w:rsidRPr="0007575D" w:rsidRDefault="003E3F85" w:rsidP="003E3F85">
      <w:pPr>
        <w:pStyle w:val="JuList"/>
        <w:numPr>
          <w:ilvl w:val="0"/>
          <w:numId w:val="5"/>
        </w:numPr>
        <w:tabs>
          <w:tab w:val="clear" w:pos="567"/>
          <w:tab w:val="num" w:pos="-142"/>
        </w:tabs>
        <w:ind w:left="284" w:hanging="284"/>
        <w:rPr>
          <w:b/>
        </w:rPr>
      </w:pPr>
      <w:r w:rsidRPr="0007575D">
        <w:rPr>
          <w:b/>
        </w:rPr>
        <w:t>RECOMMENDS</w:t>
      </w:r>
      <w:r w:rsidRPr="0007575D">
        <w:rPr>
          <w:b/>
          <w:bCs/>
          <w:lang w:eastAsia="en-US"/>
        </w:rPr>
        <w:t xml:space="preserve"> THAT UNMIK:</w:t>
      </w:r>
    </w:p>
    <w:p w:rsidR="003E3F85" w:rsidRPr="0007575D" w:rsidRDefault="003E3F85" w:rsidP="003E3F85">
      <w:pPr>
        <w:pStyle w:val="JuList"/>
        <w:tabs>
          <w:tab w:val="num" w:pos="540"/>
        </w:tabs>
        <w:ind w:left="270" w:firstLine="0"/>
        <w:rPr>
          <w:b/>
          <w:bCs/>
          <w:lang w:eastAsia="en-US"/>
        </w:rPr>
      </w:pPr>
    </w:p>
    <w:p w:rsidR="00803169" w:rsidRPr="0007575D" w:rsidRDefault="003E3F85" w:rsidP="00803169">
      <w:pPr>
        <w:pStyle w:val="JuList"/>
        <w:numPr>
          <w:ilvl w:val="0"/>
          <w:numId w:val="6"/>
        </w:numPr>
        <w:tabs>
          <w:tab w:val="num" w:pos="720"/>
        </w:tabs>
        <w:ind w:left="720"/>
        <w:rPr>
          <w:b/>
          <w:bCs/>
          <w:lang w:eastAsia="en-US"/>
        </w:rPr>
      </w:pPr>
      <w:r w:rsidRPr="0007575D">
        <w:rPr>
          <w:b/>
          <w:bCs/>
          <w:lang w:eastAsia="en-US"/>
        </w:rPr>
        <w:t xml:space="preserve">URGES THE COMPETENT AUTHORITIES IN KOSOVO TO TAKE ALL POSSIBLE STEPS IN ORDER TO ENSURE THAT THE CRIMINAL INVESTIGATION INTO THE </w:t>
      </w:r>
      <w:r w:rsidR="00954A3E" w:rsidRPr="0007575D">
        <w:rPr>
          <w:b/>
          <w:bCs/>
          <w:lang w:eastAsia="en-US"/>
        </w:rPr>
        <w:t>ABDUCTION</w:t>
      </w:r>
      <w:r w:rsidR="004F45E5" w:rsidRPr="0007575D">
        <w:rPr>
          <w:b/>
          <w:bCs/>
          <w:lang w:eastAsia="en-US"/>
        </w:rPr>
        <w:t xml:space="preserve"> AND </w:t>
      </w:r>
      <w:r w:rsidR="006D4149" w:rsidRPr="0007575D">
        <w:rPr>
          <w:b/>
          <w:bCs/>
          <w:lang w:eastAsia="en-US"/>
        </w:rPr>
        <w:t>KILLING</w:t>
      </w:r>
      <w:r w:rsidR="0099110A">
        <w:rPr>
          <w:b/>
          <w:bCs/>
          <w:lang w:eastAsia="en-US"/>
        </w:rPr>
        <w:t xml:space="preserve"> OF </w:t>
      </w:r>
      <w:r w:rsidR="009543CC" w:rsidRPr="009543CC">
        <w:rPr>
          <w:b/>
          <w:bCs/>
          <w:lang w:val="en-US" w:eastAsia="en-US"/>
        </w:rPr>
        <w:t>MR ÐORÐE KUZMANOVIĆ</w:t>
      </w:r>
      <w:r w:rsidR="00622236" w:rsidRPr="0007575D">
        <w:rPr>
          <w:b/>
          <w:bCs/>
          <w:lang w:eastAsia="en-US"/>
        </w:rPr>
        <w:t xml:space="preserve"> </w:t>
      </w:r>
      <w:r w:rsidRPr="0007575D">
        <w:rPr>
          <w:b/>
          <w:bCs/>
          <w:lang w:eastAsia="en-US"/>
        </w:rPr>
        <w:t>IS CONTINUED IN COMPLIANCE WITH ARTICLE 2 OF THE ECHR AND THAT THE PERPETRATORS ARE BROUGHT TO JUSTICE;</w:t>
      </w:r>
    </w:p>
    <w:p w:rsidR="00803169" w:rsidRPr="0007575D" w:rsidRDefault="00803169" w:rsidP="00803169">
      <w:pPr>
        <w:pStyle w:val="JuList"/>
        <w:ind w:left="720" w:firstLine="0"/>
        <w:rPr>
          <w:b/>
          <w:bCs/>
          <w:lang w:eastAsia="en-US"/>
        </w:rPr>
      </w:pPr>
    </w:p>
    <w:p w:rsidR="003E3F85" w:rsidRPr="0007575D" w:rsidRDefault="003E3F85" w:rsidP="00803169">
      <w:pPr>
        <w:pStyle w:val="JuList"/>
        <w:numPr>
          <w:ilvl w:val="0"/>
          <w:numId w:val="6"/>
        </w:numPr>
        <w:tabs>
          <w:tab w:val="num" w:pos="720"/>
        </w:tabs>
        <w:ind w:left="720"/>
        <w:rPr>
          <w:b/>
          <w:bCs/>
          <w:lang w:eastAsia="en-US"/>
        </w:rPr>
      </w:pPr>
      <w:r w:rsidRPr="0007575D">
        <w:rPr>
          <w:b/>
          <w:bCs/>
          <w:lang w:eastAsia="en-US"/>
        </w:rPr>
        <w:t>PUBLICLY ACKNOWLEDGES</w:t>
      </w:r>
      <w:r w:rsidR="0034188D" w:rsidRPr="0007575D">
        <w:rPr>
          <w:b/>
          <w:bCs/>
          <w:lang w:eastAsia="en-US"/>
        </w:rPr>
        <w:t xml:space="preserve">, </w:t>
      </w:r>
      <w:r w:rsidR="0034188D" w:rsidRPr="0007575D">
        <w:rPr>
          <w:b/>
          <w:bCs/>
          <w:color w:val="000000" w:themeColor="text1"/>
          <w:lang w:eastAsia="en-US"/>
        </w:rPr>
        <w:t>INCLUDING THROUGH MEDIA,</w:t>
      </w:r>
      <w:r w:rsidRPr="0007575D">
        <w:rPr>
          <w:b/>
          <w:bCs/>
          <w:lang w:eastAsia="en-US"/>
        </w:rPr>
        <w:t xml:space="preserve"> RESPONSIBILITY FOR ITS FAILURE TO CONDUCT AN EFFECTIVE INVESTIGATION INTO </w:t>
      </w:r>
      <w:r w:rsidR="00622236" w:rsidRPr="0007575D">
        <w:rPr>
          <w:b/>
          <w:bCs/>
          <w:lang w:eastAsia="en-US"/>
        </w:rPr>
        <w:t xml:space="preserve">THE </w:t>
      </w:r>
      <w:r w:rsidR="00954A3E" w:rsidRPr="0007575D">
        <w:rPr>
          <w:b/>
          <w:bCs/>
          <w:lang w:eastAsia="en-US"/>
        </w:rPr>
        <w:t>ABDUCTION</w:t>
      </w:r>
      <w:r w:rsidR="00622236" w:rsidRPr="0007575D">
        <w:rPr>
          <w:b/>
          <w:bCs/>
          <w:lang w:eastAsia="en-US"/>
        </w:rPr>
        <w:t xml:space="preserve"> AND </w:t>
      </w:r>
      <w:r w:rsidR="00803169" w:rsidRPr="0007575D">
        <w:rPr>
          <w:b/>
          <w:bCs/>
          <w:lang w:eastAsia="en-US"/>
        </w:rPr>
        <w:t xml:space="preserve">KILLING </w:t>
      </w:r>
      <w:r w:rsidR="00B77C87" w:rsidRPr="0007575D">
        <w:rPr>
          <w:b/>
          <w:bCs/>
          <w:lang w:eastAsia="en-US"/>
        </w:rPr>
        <w:t xml:space="preserve">OF MR </w:t>
      </w:r>
      <w:r w:rsidR="00803169" w:rsidRPr="0007575D">
        <w:rPr>
          <w:b/>
          <w:bCs/>
          <w:lang w:eastAsia="en-US"/>
        </w:rPr>
        <w:t>ÐORÐE KUZMANOVI</w:t>
      </w:r>
      <w:r w:rsidR="00B77C87" w:rsidRPr="0007575D">
        <w:rPr>
          <w:b/>
          <w:bCs/>
          <w:lang w:eastAsia="en-US"/>
        </w:rPr>
        <w:t xml:space="preserve">Ć </w:t>
      </w:r>
      <w:r w:rsidRPr="0007575D">
        <w:rPr>
          <w:b/>
          <w:bCs/>
          <w:lang w:eastAsia="en-US"/>
        </w:rPr>
        <w:t xml:space="preserve">AND MAKES A PUBLIC APOLOGY TO THE COMPLAINANT; </w:t>
      </w:r>
    </w:p>
    <w:p w:rsidR="003E3F85" w:rsidRPr="0007575D" w:rsidRDefault="003E3F85" w:rsidP="003E3F85">
      <w:pPr>
        <w:pStyle w:val="JuList"/>
        <w:tabs>
          <w:tab w:val="num" w:pos="900"/>
        </w:tabs>
        <w:ind w:left="900" w:firstLine="0"/>
        <w:rPr>
          <w:b/>
          <w:bCs/>
          <w:lang w:eastAsia="en-US"/>
        </w:rPr>
      </w:pPr>
    </w:p>
    <w:p w:rsidR="003E3F85" w:rsidRPr="0007575D" w:rsidRDefault="003E3F85" w:rsidP="003E3F85">
      <w:pPr>
        <w:pStyle w:val="JuList"/>
        <w:numPr>
          <w:ilvl w:val="0"/>
          <w:numId w:val="6"/>
        </w:numPr>
        <w:tabs>
          <w:tab w:val="num" w:pos="720"/>
        </w:tabs>
        <w:ind w:left="720"/>
        <w:rPr>
          <w:b/>
        </w:rPr>
      </w:pPr>
      <w:r w:rsidRPr="0007575D">
        <w:rPr>
          <w:b/>
          <w:bCs/>
          <w:caps/>
          <w:lang w:eastAsia="en-US"/>
        </w:rPr>
        <w:t xml:space="preserve">TAKES APPROPRIATE STEPS TOWARDS PAYMENT OF ADEQUATE </w:t>
      </w:r>
      <w:r w:rsidRPr="0007575D">
        <w:rPr>
          <w:b/>
          <w:bCs/>
          <w:lang w:eastAsia="en-US"/>
        </w:rPr>
        <w:t>COMPENSATION</w:t>
      </w:r>
      <w:r w:rsidRPr="0007575D">
        <w:rPr>
          <w:b/>
          <w:bCs/>
          <w:caps/>
          <w:lang w:eastAsia="en-US"/>
        </w:rPr>
        <w:t xml:space="preserve"> FOR MORAL DAMAGE IN RELATION TO THE FINDING OF VIOLATIONS OF ARTICLE 2 OF THE ECHR TO THE COMPLAINANT</w:t>
      </w:r>
      <w:r w:rsidRPr="0007575D">
        <w:rPr>
          <w:b/>
        </w:rPr>
        <w:t>;</w:t>
      </w:r>
    </w:p>
    <w:p w:rsidR="003E3F85" w:rsidRPr="0007575D" w:rsidRDefault="003E3F85" w:rsidP="003E3F85">
      <w:pPr>
        <w:pStyle w:val="JuList"/>
        <w:tabs>
          <w:tab w:val="num" w:pos="900"/>
        </w:tabs>
        <w:ind w:left="900" w:firstLine="0"/>
        <w:rPr>
          <w:b/>
          <w:bCs/>
          <w:lang w:eastAsia="en-US"/>
        </w:rPr>
      </w:pPr>
    </w:p>
    <w:p w:rsidR="003E3F85" w:rsidRPr="0007575D" w:rsidRDefault="003E3F85" w:rsidP="003E3F85">
      <w:pPr>
        <w:pStyle w:val="JuList"/>
        <w:numPr>
          <w:ilvl w:val="0"/>
          <w:numId w:val="6"/>
        </w:numPr>
        <w:tabs>
          <w:tab w:val="num" w:pos="720"/>
        </w:tabs>
        <w:ind w:left="720"/>
        <w:rPr>
          <w:b/>
          <w:bCs/>
          <w:lang w:eastAsia="en-US"/>
        </w:rPr>
      </w:pPr>
      <w:r w:rsidRPr="0007575D">
        <w:rPr>
          <w:b/>
          <w:bCs/>
          <w:lang w:eastAsia="en-US"/>
        </w:rPr>
        <w:t>TAKES APPROPRIATE STEPS TOWARDS THE REALISATION OF A FULL AND COMPREHENSIVE REPARATION PROGRAMME;</w:t>
      </w:r>
    </w:p>
    <w:p w:rsidR="003E3F85" w:rsidRPr="0007575D" w:rsidRDefault="003E3F85" w:rsidP="003E3F85">
      <w:pPr>
        <w:pStyle w:val="ListParagraph"/>
        <w:tabs>
          <w:tab w:val="num" w:pos="900"/>
        </w:tabs>
        <w:ind w:left="900"/>
        <w:rPr>
          <w:b/>
          <w:bCs/>
          <w:lang w:val="en-GB" w:eastAsia="en-US"/>
        </w:rPr>
      </w:pPr>
    </w:p>
    <w:p w:rsidR="003E3F85" w:rsidRPr="0007575D" w:rsidRDefault="003E3F85" w:rsidP="003E3F85">
      <w:pPr>
        <w:pStyle w:val="JuList"/>
        <w:numPr>
          <w:ilvl w:val="0"/>
          <w:numId w:val="6"/>
        </w:numPr>
        <w:tabs>
          <w:tab w:val="num" w:pos="720"/>
        </w:tabs>
        <w:ind w:left="720"/>
        <w:rPr>
          <w:b/>
          <w:bCs/>
          <w:lang w:eastAsia="en-US"/>
        </w:rPr>
      </w:pPr>
      <w:r w:rsidRPr="0007575D">
        <w:rPr>
          <w:b/>
          <w:bCs/>
          <w:lang w:eastAsia="en-US"/>
        </w:rPr>
        <w:t>TAKES APPROPRIATE STEPS AT THE UNITED NATIONS AS A GUARANTEE OF NON REPETITION;</w:t>
      </w:r>
    </w:p>
    <w:p w:rsidR="003E3F85" w:rsidRPr="0007575D" w:rsidRDefault="003E3F85" w:rsidP="003E3F85">
      <w:pPr>
        <w:pStyle w:val="JuList"/>
        <w:tabs>
          <w:tab w:val="num" w:pos="900"/>
        </w:tabs>
        <w:ind w:left="900" w:firstLine="0"/>
        <w:rPr>
          <w:b/>
          <w:bCs/>
          <w:lang w:eastAsia="en-US"/>
        </w:rPr>
      </w:pPr>
    </w:p>
    <w:p w:rsidR="003E3F85" w:rsidRPr="0007575D" w:rsidRDefault="003E3F85" w:rsidP="003E3F85">
      <w:pPr>
        <w:pStyle w:val="JuList"/>
        <w:numPr>
          <w:ilvl w:val="0"/>
          <w:numId w:val="6"/>
        </w:numPr>
        <w:tabs>
          <w:tab w:val="num" w:pos="720"/>
        </w:tabs>
        <w:ind w:left="720"/>
        <w:rPr>
          <w:b/>
          <w:bCs/>
          <w:lang w:eastAsia="en-US"/>
        </w:rPr>
      </w:pPr>
      <w:r w:rsidRPr="0007575D">
        <w:rPr>
          <w:b/>
          <w:bCs/>
          <w:lang w:eastAsia="en-US"/>
        </w:rPr>
        <w:t>TAKES IMMEDIATE AND EFFECTIVE MEASURES TO IMPLEMENT THE RECOMMENDATIONS OF THE PANEL AND TO INFORM THE COMPLAINANT AND THE PANEL ABOUT FURTHER DEVELOPMENTS IN THIS CASE.</w:t>
      </w:r>
    </w:p>
    <w:p w:rsidR="003E3F85" w:rsidRPr="00393E7A" w:rsidRDefault="003E3F85" w:rsidP="003E3F85">
      <w:pPr>
        <w:autoSpaceDE w:val="0"/>
        <w:autoSpaceDN w:val="0"/>
        <w:adjustRightInd w:val="0"/>
        <w:jc w:val="both"/>
        <w:rPr>
          <w:b/>
          <w:bCs/>
          <w:lang w:val="en-GB"/>
        </w:rPr>
      </w:pPr>
    </w:p>
    <w:p w:rsidR="003E3F85" w:rsidRPr="00393E7A" w:rsidRDefault="003E3F85" w:rsidP="003E3F85">
      <w:pPr>
        <w:autoSpaceDE w:val="0"/>
        <w:autoSpaceDN w:val="0"/>
        <w:adjustRightInd w:val="0"/>
        <w:jc w:val="both"/>
        <w:rPr>
          <w:b/>
          <w:bCs/>
          <w:lang w:val="en-GB"/>
        </w:rPr>
      </w:pPr>
    </w:p>
    <w:p w:rsidR="003E3F85" w:rsidRPr="00393E7A" w:rsidRDefault="003E3F85" w:rsidP="003E3F85">
      <w:pPr>
        <w:autoSpaceDE w:val="0"/>
        <w:autoSpaceDN w:val="0"/>
        <w:adjustRightInd w:val="0"/>
        <w:jc w:val="both"/>
        <w:rPr>
          <w:b/>
          <w:bCs/>
          <w:lang w:val="en-GB"/>
        </w:rPr>
      </w:pPr>
    </w:p>
    <w:p w:rsidR="003B3907" w:rsidRPr="00393E7A" w:rsidRDefault="003B3907" w:rsidP="003E3F85">
      <w:pPr>
        <w:autoSpaceDE w:val="0"/>
        <w:autoSpaceDN w:val="0"/>
        <w:adjustRightInd w:val="0"/>
        <w:jc w:val="both"/>
        <w:rPr>
          <w:lang w:val="en-GB"/>
        </w:rPr>
      </w:pPr>
    </w:p>
    <w:p w:rsidR="003B3907" w:rsidRPr="00393E7A" w:rsidRDefault="003B3907" w:rsidP="003E3F85">
      <w:pPr>
        <w:autoSpaceDE w:val="0"/>
        <w:autoSpaceDN w:val="0"/>
        <w:adjustRightInd w:val="0"/>
        <w:jc w:val="both"/>
        <w:rPr>
          <w:lang w:val="en-GB"/>
        </w:rPr>
      </w:pPr>
    </w:p>
    <w:p w:rsidR="003B3907" w:rsidRPr="00393E7A" w:rsidRDefault="003B3907" w:rsidP="003E3F85">
      <w:pPr>
        <w:autoSpaceDE w:val="0"/>
        <w:autoSpaceDN w:val="0"/>
        <w:adjustRightInd w:val="0"/>
        <w:jc w:val="both"/>
        <w:rPr>
          <w:lang w:val="en-GB"/>
        </w:rPr>
      </w:pPr>
    </w:p>
    <w:p w:rsidR="003E3F85" w:rsidRPr="00393E7A" w:rsidRDefault="002948A6" w:rsidP="003E3F85">
      <w:pPr>
        <w:autoSpaceDE w:val="0"/>
        <w:autoSpaceDN w:val="0"/>
        <w:adjustRightInd w:val="0"/>
        <w:jc w:val="both"/>
        <w:rPr>
          <w:lang w:val="en-GB"/>
        </w:rPr>
      </w:pPr>
      <w:r w:rsidRPr="00393E7A">
        <w:rPr>
          <w:lang w:val="en-GB"/>
        </w:rPr>
        <w:t>Andrey Antonov</w:t>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Pr="00393E7A">
        <w:rPr>
          <w:lang w:val="en-GB"/>
        </w:rPr>
        <w:tab/>
      </w:r>
      <w:r w:rsidR="003E3F85" w:rsidRPr="00393E7A">
        <w:rPr>
          <w:lang w:val="en-GB"/>
        </w:rPr>
        <w:t>Marek Nowicki</w:t>
      </w:r>
    </w:p>
    <w:p w:rsidR="00CA379B" w:rsidRPr="0007575D" w:rsidRDefault="003E3F85" w:rsidP="0007575D">
      <w:pPr>
        <w:autoSpaceDE w:val="0"/>
        <w:autoSpaceDN w:val="0"/>
        <w:adjustRightInd w:val="0"/>
        <w:jc w:val="both"/>
        <w:rPr>
          <w:lang w:val="en-GB"/>
        </w:rPr>
      </w:pPr>
      <w:r w:rsidRPr="00393E7A">
        <w:rPr>
          <w:lang w:val="en-GB"/>
        </w:rPr>
        <w:t xml:space="preserve">Executive Officer </w:t>
      </w:r>
      <w:r w:rsidRPr="00393E7A">
        <w:rPr>
          <w:lang w:val="en-GB"/>
        </w:rPr>
        <w:tab/>
      </w:r>
      <w:r w:rsidRPr="00393E7A">
        <w:rPr>
          <w:lang w:val="en-GB"/>
        </w:rPr>
        <w:tab/>
      </w:r>
      <w:r w:rsidRPr="00393E7A">
        <w:rPr>
          <w:lang w:val="en-GB"/>
        </w:rPr>
        <w:tab/>
      </w:r>
      <w:r w:rsidRPr="00393E7A">
        <w:rPr>
          <w:lang w:val="en-GB"/>
        </w:rPr>
        <w:tab/>
      </w:r>
      <w:r w:rsidRPr="00393E7A">
        <w:rPr>
          <w:lang w:val="en-GB"/>
        </w:rPr>
        <w:tab/>
        <w:t xml:space="preserve"> </w:t>
      </w:r>
      <w:r w:rsidRPr="00393E7A">
        <w:rPr>
          <w:lang w:val="en-GB"/>
        </w:rPr>
        <w:tab/>
      </w:r>
      <w:r w:rsidR="002948A6" w:rsidRPr="00393E7A">
        <w:rPr>
          <w:lang w:val="en-GB"/>
        </w:rPr>
        <w:tab/>
      </w:r>
      <w:r w:rsidR="001B768F" w:rsidRPr="00393E7A">
        <w:rPr>
          <w:lang w:val="en-GB"/>
        </w:rPr>
        <w:t>Presiding Membe</w:t>
      </w:r>
      <w:r w:rsidR="00B56986" w:rsidRPr="00393E7A">
        <w:rPr>
          <w:lang w:val="en-GB"/>
        </w:rPr>
        <w:t>r</w:t>
      </w:r>
      <w:r w:rsidR="00CA379B" w:rsidRPr="00393E7A">
        <w:rPr>
          <w:i/>
          <w:lang w:val="en-GB"/>
        </w:rPr>
        <w:br w:type="page"/>
      </w:r>
    </w:p>
    <w:p w:rsidR="008F03DC" w:rsidRPr="00393E7A" w:rsidRDefault="008F03DC" w:rsidP="003E3F85">
      <w:pPr>
        <w:ind w:left="7200" w:firstLine="720"/>
        <w:jc w:val="center"/>
        <w:rPr>
          <w:i/>
          <w:lang w:val="en-GB"/>
        </w:rPr>
      </w:pPr>
      <w:r w:rsidRPr="00393E7A">
        <w:rPr>
          <w:i/>
          <w:lang w:val="en-GB"/>
        </w:rPr>
        <w:lastRenderedPageBreak/>
        <w:t>Annex</w:t>
      </w:r>
    </w:p>
    <w:p w:rsidR="004F71FD" w:rsidRPr="00393E7A" w:rsidRDefault="004F71FD" w:rsidP="004C104C">
      <w:pPr>
        <w:jc w:val="center"/>
        <w:rPr>
          <w:b/>
          <w:lang w:val="en-GB"/>
        </w:rPr>
      </w:pPr>
    </w:p>
    <w:p w:rsidR="00F52A7B" w:rsidRPr="00393E7A" w:rsidRDefault="00F52A7B" w:rsidP="004C104C">
      <w:pPr>
        <w:jc w:val="center"/>
        <w:rPr>
          <w:lang w:val="en-GB"/>
        </w:rPr>
      </w:pPr>
      <w:r w:rsidRPr="00393E7A">
        <w:rPr>
          <w:b/>
          <w:lang w:val="en-GB"/>
        </w:rPr>
        <w:t>ABBREVIATIONS AND ACRONYMS</w:t>
      </w:r>
    </w:p>
    <w:p w:rsidR="00F52A7B" w:rsidRPr="00393E7A" w:rsidRDefault="00F52A7B" w:rsidP="00F52A7B">
      <w:pPr>
        <w:autoSpaceDE w:val="0"/>
        <w:jc w:val="both"/>
        <w:rPr>
          <w:lang w:val="en-GB"/>
        </w:rPr>
      </w:pPr>
    </w:p>
    <w:p w:rsidR="00F52A7B" w:rsidRPr="00393E7A" w:rsidRDefault="00F52A7B" w:rsidP="00F52A7B">
      <w:pPr>
        <w:autoSpaceDE w:val="0"/>
        <w:jc w:val="both"/>
        <w:rPr>
          <w:lang w:val="en-GB"/>
        </w:rPr>
      </w:pPr>
      <w:r w:rsidRPr="00393E7A">
        <w:rPr>
          <w:b/>
          <w:lang w:val="en-GB"/>
        </w:rPr>
        <w:t xml:space="preserve">CCIU </w:t>
      </w:r>
      <w:r w:rsidRPr="00393E7A">
        <w:rPr>
          <w:lang w:val="en-GB"/>
        </w:rPr>
        <w:t>- Central Criminal Investigation Unit</w:t>
      </w:r>
    </w:p>
    <w:p w:rsidR="00F52A7B" w:rsidRPr="00393E7A" w:rsidRDefault="00F52A7B" w:rsidP="00F52A7B">
      <w:pPr>
        <w:autoSpaceDE w:val="0"/>
        <w:jc w:val="both"/>
        <w:rPr>
          <w:lang w:val="en-GB"/>
        </w:rPr>
      </w:pPr>
      <w:r w:rsidRPr="00393E7A">
        <w:rPr>
          <w:b/>
          <w:lang w:val="en-GB"/>
        </w:rPr>
        <w:t xml:space="preserve">CCPR – </w:t>
      </w:r>
      <w:r w:rsidRPr="00393E7A">
        <w:rPr>
          <w:lang w:val="en-GB"/>
        </w:rPr>
        <w:t>International Covenant on Civil and Political Rights</w:t>
      </w:r>
    </w:p>
    <w:p w:rsidR="00F52A7B" w:rsidRPr="00393E7A" w:rsidRDefault="00F52A7B" w:rsidP="00F52A7B">
      <w:pPr>
        <w:autoSpaceDE w:val="0"/>
        <w:jc w:val="both"/>
        <w:rPr>
          <w:lang w:val="en-GB"/>
        </w:rPr>
      </w:pPr>
      <w:r w:rsidRPr="00393E7A">
        <w:rPr>
          <w:b/>
          <w:lang w:val="en-GB"/>
        </w:rPr>
        <w:t xml:space="preserve">DOJ </w:t>
      </w:r>
      <w:r w:rsidRPr="00393E7A">
        <w:rPr>
          <w:lang w:val="en-GB"/>
        </w:rPr>
        <w:t>- Department of Justice</w:t>
      </w:r>
    </w:p>
    <w:p w:rsidR="00F52A7B" w:rsidRPr="00393E7A" w:rsidRDefault="00F52A7B" w:rsidP="00F52A7B">
      <w:pPr>
        <w:autoSpaceDE w:val="0"/>
        <w:jc w:val="both"/>
        <w:rPr>
          <w:lang w:val="en-GB"/>
        </w:rPr>
      </w:pPr>
      <w:r w:rsidRPr="00393E7A">
        <w:rPr>
          <w:b/>
          <w:lang w:val="en-GB"/>
        </w:rPr>
        <w:t>DPPO</w:t>
      </w:r>
      <w:r w:rsidRPr="00393E7A">
        <w:rPr>
          <w:lang w:val="en-GB"/>
        </w:rPr>
        <w:t xml:space="preserve"> - District Public Prosecutor’s Office</w:t>
      </w:r>
    </w:p>
    <w:p w:rsidR="00F52A7B" w:rsidRPr="00393E7A" w:rsidRDefault="00F52A7B" w:rsidP="00F52A7B">
      <w:pPr>
        <w:autoSpaceDE w:val="0"/>
        <w:jc w:val="both"/>
        <w:rPr>
          <w:lang w:val="en-GB"/>
        </w:rPr>
      </w:pPr>
      <w:r w:rsidRPr="00393E7A">
        <w:rPr>
          <w:b/>
          <w:lang w:val="en-GB"/>
        </w:rPr>
        <w:t>ECHR</w:t>
      </w:r>
      <w:r w:rsidRPr="00393E7A">
        <w:rPr>
          <w:lang w:val="en-GB"/>
        </w:rPr>
        <w:t xml:space="preserve"> - European Convention on Human Rights</w:t>
      </w:r>
    </w:p>
    <w:p w:rsidR="00F52A7B" w:rsidRPr="00393E7A" w:rsidRDefault="00F52A7B" w:rsidP="00F52A7B">
      <w:pPr>
        <w:autoSpaceDE w:val="0"/>
        <w:jc w:val="both"/>
        <w:rPr>
          <w:lang w:val="en-GB"/>
        </w:rPr>
      </w:pPr>
      <w:r w:rsidRPr="00393E7A">
        <w:rPr>
          <w:b/>
          <w:lang w:val="en-GB"/>
        </w:rPr>
        <w:t xml:space="preserve">ECtHR </w:t>
      </w:r>
      <w:r w:rsidRPr="00393E7A">
        <w:rPr>
          <w:lang w:val="en-GB"/>
        </w:rPr>
        <w:t xml:space="preserve">- European Court of Human Rights </w:t>
      </w:r>
    </w:p>
    <w:p w:rsidR="00F52A7B" w:rsidRPr="00393E7A" w:rsidRDefault="00F52A7B" w:rsidP="00F52A7B">
      <w:pPr>
        <w:autoSpaceDE w:val="0"/>
        <w:jc w:val="both"/>
        <w:rPr>
          <w:lang w:val="en-GB"/>
        </w:rPr>
      </w:pPr>
      <w:r w:rsidRPr="00393E7A">
        <w:rPr>
          <w:b/>
          <w:lang w:val="en-GB"/>
        </w:rPr>
        <w:t>EU</w:t>
      </w:r>
      <w:r w:rsidRPr="00393E7A">
        <w:rPr>
          <w:lang w:val="en-GB"/>
        </w:rPr>
        <w:t xml:space="preserve"> – European Union</w:t>
      </w:r>
    </w:p>
    <w:p w:rsidR="00F52A7B" w:rsidRPr="00393E7A" w:rsidRDefault="00F52A7B" w:rsidP="00F52A7B">
      <w:pPr>
        <w:autoSpaceDE w:val="0"/>
        <w:jc w:val="both"/>
        <w:rPr>
          <w:lang w:val="en-GB"/>
        </w:rPr>
      </w:pPr>
      <w:r w:rsidRPr="00393E7A">
        <w:rPr>
          <w:b/>
          <w:lang w:val="en-GB"/>
        </w:rPr>
        <w:t>EULEX</w:t>
      </w:r>
      <w:r w:rsidRPr="00393E7A">
        <w:rPr>
          <w:lang w:val="en-GB"/>
        </w:rPr>
        <w:t xml:space="preserve"> - European Union Rule of Law Mission in Kosovo</w:t>
      </w:r>
    </w:p>
    <w:p w:rsidR="00F52A7B" w:rsidRPr="00393E7A" w:rsidRDefault="00F52A7B" w:rsidP="00F52A7B">
      <w:pPr>
        <w:autoSpaceDE w:val="0"/>
        <w:jc w:val="both"/>
        <w:rPr>
          <w:lang w:val="en-GB"/>
        </w:rPr>
      </w:pPr>
      <w:r w:rsidRPr="00393E7A">
        <w:rPr>
          <w:b/>
          <w:lang w:val="en-GB"/>
        </w:rPr>
        <w:t xml:space="preserve">FRY </w:t>
      </w:r>
      <w:r w:rsidRPr="00393E7A">
        <w:rPr>
          <w:lang w:val="en-GB"/>
        </w:rPr>
        <w:t>-</w:t>
      </w:r>
      <w:r w:rsidR="00D47E53" w:rsidRPr="00393E7A">
        <w:rPr>
          <w:lang w:val="en-GB"/>
        </w:rPr>
        <w:t xml:space="preserve"> Federal Republic of Yugoslavia</w:t>
      </w:r>
    </w:p>
    <w:p w:rsidR="00D47E53" w:rsidRPr="00393E7A" w:rsidRDefault="00D47E53" w:rsidP="00F52A7B">
      <w:pPr>
        <w:autoSpaceDE w:val="0"/>
        <w:jc w:val="both"/>
        <w:rPr>
          <w:lang w:val="en-GB"/>
        </w:rPr>
      </w:pPr>
      <w:r w:rsidRPr="00393E7A">
        <w:rPr>
          <w:b/>
          <w:lang w:val="en-GB"/>
        </w:rPr>
        <w:t>FYROM</w:t>
      </w:r>
      <w:r w:rsidRPr="00393E7A">
        <w:rPr>
          <w:lang w:val="en-GB"/>
        </w:rPr>
        <w:t xml:space="preserve"> - Former Yugoslav Republic of Macedonia</w:t>
      </w:r>
    </w:p>
    <w:p w:rsidR="00F52A7B" w:rsidRPr="00393E7A" w:rsidRDefault="00F52A7B" w:rsidP="00F52A7B">
      <w:pPr>
        <w:autoSpaceDE w:val="0"/>
        <w:jc w:val="both"/>
        <w:rPr>
          <w:lang w:val="en-GB"/>
        </w:rPr>
      </w:pPr>
      <w:r w:rsidRPr="00393E7A">
        <w:rPr>
          <w:b/>
          <w:lang w:val="en-GB"/>
        </w:rPr>
        <w:t xml:space="preserve">HRAP </w:t>
      </w:r>
      <w:r w:rsidRPr="00393E7A">
        <w:rPr>
          <w:lang w:val="en-GB"/>
        </w:rPr>
        <w:t>- Human Rights Advisory Panel</w:t>
      </w:r>
    </w:p>
    <w:p w:rsidR="00C329A3" w:rsidRPr="00393E7A" w:rsidRDefault="00C329A3" w:rsidP="00F52A7B">
      <w:pPr>
        <w:autoSpaceDE w:val="0"/>
        <w:jc w:val="both"/>
        <w:rPr>
          <w:lang w:val="en-GB"/>
        </w:rPr>
      </w:pPr>
      <w:r w:rsidRPr="00393E7A">
        <w:rPr>
          <w:b/>
          <w:lang w:val="en-GB"/>
        </w:rPr>
        <w:t xml:space="preserve">HLC- </w:t>
      </w:r>
      <w:r w:rsidRPr="00393E7A">
        <w:rPr>
          <w:lang w:val="en-GB"/>
        </w:rPr>
        <w:t>Humanitarian Law Centre</w:t>
      </w:r>
    </w:p>
    <w:p w:rsidR="00F52A7B" w:rsidRPr="00393E7A" w:rsidRDefault="00F52A7B" w:rsidP="00F52A7B">
      <w:pPr>
        <w:autoSpaceDE w:val="0"/>
        <w:jc w:val="both"/>
        <w:rPr>
          <w:lang w:val="en-GB"/>
        </w:rPr>
      </w:pPr>
      <w:r w:rsidRPr="00393E7A">
        <w:rPr>
          <w:b/>
          <w:lang w:val="en-GB"/>
        </w:rPr>
        <w:t>HRC</w:t>
      </w:r>
      <w:r w:rsidR="009E5B51" w:rsidRPr="00393E7A">
        <w:rPr>
          <w:lang w:val="en-GB"/>
        </w:rPr>
        <w:t xml:space="preserve"> -</w:t>
      </w:r>
      <w:r w:rsidRPr="00393E7A">
        <w:rPr>
          <w:lang w:val="en-GB"/>
        </w:rPr>
        <w:t xml:space="preserve"> United Nation Human Rights Committee</w:t>
      </w:r>
    </w:p>
    <w:p w:rsidR="00316A34" w:rsidRPr="00393E7A" w:rsidRDefault="00316A34" w:rsidP="00F52A7B">
      <w:pPr>
        <w:autoSpaceDE w:val="0"/>
        <w:jc w:val="both"/>
        <w:rPr>
          <w:lang w:val="en-GB"/>
        </w:rPr>
      </w:pPr>
      <w:r w:rsidRPr="00393E7A">
        <w:rPr>
          <w:b/>
          <w:lang w:val="en-GB"/>
        </w:rPr>
        <w:t xml:space="preserve">HQ </w:t>
      </w:r>
      <w:r w:rsidRPr="00393E7A">
        <w:rPr>
          <w:lang w:val="en-GB"/>
        </w:rPr>
        <w:t>- Headquarters</w:t>
      </w:r>
    </w:p>
    <w:p w:rsidR="00F52A7B" w:rsidRPr="00393E7A" w:rsidRDefault="00F52A7B" w:rsidP="00F52A7B">
      <w:pPr>
        <w:autoSpaceDE w:val="0"/>
        <w:jc w:val="both"/>
        <w:rPr>
          <w:lang w:val="en-GB"/>
        </w:rPr>
      </w:pPr>
      <w:r w:rsidRPr="00393E7A">
        <w:rPr>
          <w:b/>
          <w:lang w:val="en-GB"/>
        </w:rPr>
        <w:t xml:space="preserve">IACtHR </w:t>
      </w:r>
      <w:r w:rsidRPr="00393E7A">
        <w:rPr>
          <w:lang w:val="en-GB"/>
        </w:rPr>
        <w:t>– Inter-American Court of Human Rights</w:t>
      </w:r>
    </w:p>
    <w:p w:rsidR="00F52A7B" w:rsidRPr="00393E7A" w:rsidRDefault="00F52A7B" w:rsidP="00F52A7B">
      <w:pPr>
        <w:autoSpaceDE w:val="0"/>
        <w:jc w:val="both"/>
        <w:rPr>
          <w:lang w:val="en-GB"/>
        </w:rPr>
      </w:pPr>
      <w:r w:rsidRPr="00393E7A">
        <w:rPr>
          <w:b/>
          <w:lang w:val="en-GB"/>
        </w:rPr>
        <w:t>ICMP</w:t>
      </w:r>
      <w:r w:rsidRPr="00393E7A">
        <w:rPr>
          <w:lang w:val="en-GB"/>
        </w:rPr>
        <w:t xml:space="preserve"> - International Commission of Missing Persons</w:t>
      </w:r>
    </w:p>
    <w:p w:rsidR="00F52A7B" w:rsidRPr="00393E7A" w:rsidRDefault="00F52A7B" w:rsidP="00F52A7B">
      <w:pPr>
        <w:autoSpaceDE w:val="0"/>
        <w:jc w:val="both"/>
        <w:rPr>
          <w:lang w:val="en-GB"/>
        </w:rPr>
      </w:pPr>
      <w:r w:rsidRPr="00393E7A">
        <w:rPr>
          <w:b/>
          <w:lang w:val="en-GB"/>
        </w:rPr>
        <w:t>ICRC</w:t>
      </w:r>
      <w:r w:rsidRPr="00393E7A">
        <w:rPr>
          <w:lang w:val="en-GB"/>
        </w:rPr>
        <w:t xml:space="preserve"> - International Committee of the Red Cross</w:t>
      </w:r>
    </w:p>
    <w:p w:rsidR="00F52A7B" w:rsidRPr="00393E7A" w:rsidRDefault="00F52A7B" w:rsidP="00F52A7B">
      <w:pPr>
        <w:autoSpaceDE w:val="0"/>
        <w:jc w:val="both"/>
        <w:rPr>
          <w:lang w:val="en-GB"/>
        </w:rPr>
      </w:pPr>
      <w:r w:rsidRPr="00393E7A">
        <w:rPr>
          <w:b/>
          <w:lang w:val="en-GB"/>
        </w:rPr>
        <w:t xml:space="preserve">ICTY </w:t>
      </w:r>
      <w:r w:rsidRPr="00393E7A">
        <w:rPr>
          <w:lang w:val="en-GB"/>
        </w:rPr>
        <w:t>- International Criminal Tribunal for former Yugoslavia</w:t>
      </w:r>
    </w:p>
    <w:p w:rsidR="00F52A7B" w:rsidRPr="00393E7A" w:rsidRDefault="00F52A7B" w:rsidP="00F52A7B">
      <w:pPr>
        <w:autoSpaceDE w:val="0"/>
        <w:jc w:val="both"/>
        <w:rPr>
          <w:lang w:val="en-GB"/>
        </w:rPr>
      </w:pPr>
      <w:r w:rsidRPr="00393E7A">
        <w:rPr>
          <w:b/>
          <w:lang w:val="en-GB"/>
        </w:rPr>
        <w:t>KFOR</w:t>
      </w:r>
      <w:r w:rsidRPr="00393E7A">
        <w:rPr>
          <w:lang w:val="en-GB"/>
        </w:rPr>
        <w:t xml:space="preserve"> - International Security Force (commonly known as Kosovo Force)</w:t>
      </w:r>
    </w:p>
    <w:p w:rsidR="00F52A7B" w:rsidRPr="00393E7A" w:rsidRDefault="00F52A7B" w:rsidP="00F52A7B">
      <w:pPr>
        <w:autoSpaceDE w:val="0"/>
        <w:jc w:val="both"/>
        <w:rPr>
          <w:lang w:val="en-GB"/>
        </w:rPr>
      </w:pPr>
      <w:r w:rsidRPr="00393E7A">
        <w:rPr>
          <w:b/>
          <w:lang w:val="en-GB"/>
        </w:rPr>
        <w:t>KLA</w:t>
      </w:r>
      <w:r w:rsidRPr="00393E7A">
        <w:rPr>
          <w:lang w:val="en-GB"/>
        </w:rPr>
        <w:t xml:space="preserve"> - Kosovo Liberation Army</w:t>
      </w:r>
    </w:p>
    <w:p w:rsidR="00F52A7B" w:rsidRPr="00393E7A" w:rsidRDefault="00F52A7B" w:rsidP="00F52A7B">
      <w:pPr>
        <w:autoSpaceDE w:val="0"/>
        <w:jc w:val="both"/>
        <w:rPr>
          <w:b/>
          <w:lang w:val="en-GB"/>
        </w:rPr>
      </w:pPr>
      <w:r w:rsidRPr="00393E7A">
        <w:rPr>
          <w:b/>
          <w:lang w:val="en-GB"/>
        </w:rPr>
        <w:t xml:space="preserve">MoU - </w:t>
      </w:r>
      <w:r w:rsidRPr="00393E7A">
        <w:rPr>
          <w:lang w:val="en-GB"/>
        </w:rPr>
        <w:t>Memorandum of Understanding</w:t>
      </w:r>
    </w:p>
    <w:p w:rsidR="00F52A7B" w:rsidRPr="00393E7A" w:rsidRDefault="00F52A7B" w:rsidP="00F52A7B">
      <w:pPr>
        <w:autoSpaceDE w:val="0"/>
        <w:jc w:val="both"/>
        <w:rPr>
          <w:lang w:val="en-GB"/>
        </w:rPr>
      </w:pPr>
      <w:r w:rsidRPr="00393E7A">
        <w:rPr>
          <w:b/>
          <w:lang w:val="en-GB"/>
        </w:rPr>
        <w:t xml:space="preserve">MPU </w:t>
      </w:r>
      <w:r w:rsidRPr="00393E7A">
        <w:rPr>
          <w:lang w:val="en-GB"/>
        </w:rPr>
        <w:t>- Missing Persons Unit</w:t>
      </w:r>
    </w:p>
    <w:p w:rsidR="00F52A7B" w:rsidRPr="00393E7A" w:rsidRDefault="00F52A7B" w:rsidP="00F52A7B">
      <w:pPr>
        <w:autoSpaceDE w:val="0"/>
        <w:jc w:val="both"/>
        <w:rPr>
          <w:lang w:val="en-GB"/>
        </w:rPr>
      </w:pPr>
      <w:r w:rsidRPr="00393E7A">
        <w:rPr>
          <w:b/>
          <w:lang w:val="en-GB"/>
        </w:rPr>
        <w:t>NATO</w:t>
      </w:r>
      <w:r w:rsidRPr="00393E7A">
        <w:rPr>
          <w:lang w:val="en-GB"/>
        </w:rPr>
        <w:t xml:space="preserve"> - North Atlantic Treaty Organization </w:t>
      </w:r>
    </w:p>
    <w:p w:rsidR="00F52A7B" w:rsidRPr="00393E7A" w:rsidRDefault="00F52A7B" w:rsidP="00F52A7B">
      <w:pPr>
        <w:autoSpaceDE w:val="0"/>
        <w:jc w:val="both"/>
        <w:rPr>
          <w:lang w:val="en-GB"/>
        </w:rPr>
      </w:pPr>
      <w:r w:rsidRPr="00393E7A">
        <w:rPr>
          <w:b/>
          <w:lang w:val="en-GB"/>
        </w:rPr>
        <w:t>OMPF</w:t>
      </w:r>
      <w:r w:rsidRPr="00393E7A">
        <w:rPr>
          <w:lang w:val="en-GB"/>
        </w:rPr>
        <w:t xml:space="preserve"> - Office on Missing Persons and Forensics</w:t>
      </w:r>
    </w:p>
    <w:p w:rsidR="00F52A7B" w:rsidRPr="00393E7A" w:rsidRDefault="00F52A7B" w:rsidP="00F52A7B">
      <w:pPr>
        <w:autoSpaceDE w:val="0"/>
        <w:jc w:val="both"/>
        <w:rPr>
          <w:lang w:val="en-GB"/>
        </w:rPr>
      </w:pPr>
      <w:r w:rsidRPr="00393E7A">
        <w:rPr>
          <w:b/>
          <w:lang w:val="en-GB"/>
        </w:rPr>
        <w:t>OSCE</w:t>
      </w:r>
      <w:r w:rsidRPr="00393E7A">
        <w:rPr>
          <w:lang w:val="en-GB"/>
        </w:rPr>
        <w:t xml:space="preserve"> - Organization for Security and Cooperation in Europe</w:t>
      </w:r>
    </w:p>
    <w:p w:rsidR="00F52A7B" w:rsidRPr="00393E7A" w:rsidRDefault="00F52A7B" w:rsidP="00F52A7B">
      <w:pPr>
        <w:autoSpaceDE w:val="0"/>
        <w:jc w:val="both"/>
        <w:rPr>
          <w:lang w:val="en-GB"/>
        </w:rPr>
      </w:pPr>
      <w:r w:rsidRPr="00393E7A">
        <w:rPr>
          <w:b/>
          <w:lang w:val="en-GB"/>
        </w:rPr>
        <w:t>RIU</w:t>
      </w:r>
      <w:r w:rsidRPr="00393E7A">
        <w:rPr>
          <w:lang w:val="en-GB"/>
        </w:rPr>
        <w:t xml:space="preserve"> - Regional Investigation Unit</w:t>
      </w:r>
    </w:p>
    <w:p w:rsidR="00C81EF3" w:rsidRDefault="00C81EF3" w:rsidP="00F52A7B">
      <w:pPr>
        <w:autoSpaceDE w:val="0"/>
        <w:jc w:val="both"/>
        <w:rPr>
          <w:lang w:val="en-GB"/>
        </w:rPr>
      </w:pPr>
      <w:r w:rsidRPr="00393E7A">
        <w:rPr>
          <w:b/>
          <w:lang w:val="en-GB"/>
        </w:rPr>
        <w:t xml:space="preserve">SIU – </w:t>
      </w:r>
      <w:r w:rsidRPr="00393E7A">
        <w:rPr>
          <w:lang w:val="en-GB"/>
        </w:rPr>
        <w:t>Special Investigations Unit of the UNMIK Security</w:t>
      </w:r>
    </w:p>
    <w:p w:rsidR="00862DDB" w:rsidRPr="00393E7A" w:rsidRDefault="00862DDB" w:rsidP="00F52A7B">
      <w:pPr>
        <w:autoSpaceDE w:val="0"/>
        <w:jc w:val="both"/>
        <w:rPr>
          <w:b/>
          <w:lang w:val="en-GB"/>
        </w:rPr>
      </w:pPr>
      <w:r w:rsidRPr="00862DDB">
        <w:rPr>
          <w:b/>
          <w:lang w:val="en-GB"/>
        </w:rPr>
        <w:t>SPRK</w:t>
      </w:r>
      <w:r>
        <w:rPr>
          <w:lang w:val="en-GB"/>
        </w:rPr>
        <w:t xml:space="preserve"> – EULEX Special Prosecution Office</w:t>
      </w:r>
    </w:p>
    <w:p w:rsidR="00F52A7B" w:rsidRPr="00393E7A" w:rsidRDefault="00F52A7B" w:rsidP="00F52A7B">
      <w:pPr>
        <w:autoSpaceDE w:val="0"/>
        <w:jc w:val="both"/>
        <w:rPr>
          <w:lang w:val="en-GB"/>
        </w:rPr>
      </w:pPr>
      <w:r w:rsidRPr="00393E7A">
        <w:rPr>
          <w:b/>
          <w:lang w:val="en-GB"/>
        </w:rPr>
        <w:t>SRSG</w:t>
      </w:r>
      <w:r w:rsidRPr="00393E7A">
        <w:rPr>
          <w:lang w:val="en-GB"/>
        </w:rPr>
        <w:t xml:space="preserve"> - Special Representative of the Secretary-General </w:t>
      </w:r>
    </w:p>
    <w:p w:rsidR="00F52A7B" w:rsidRPr="00393E7A" w:rsidRDefault="00F52A7B" w:rsidP="00F52A7B">
      <w:pPr>
        <w:autoSpaceDE w:val="0"/>
        <w:jc w:val="both"/>
        <w:rPr>
          <w:lang w:val="en-GB"/>
        </w:rPr>
      </w:pPr>
      <w:r w:rsidRPr="00393E7A">
        <w:rPr>
          <w:b/>
          <w:lang w:val="en-GB"/>
        </w:rPr>
        <w:t>UN</w:t>
      </w:r>
      <w:r w:rsidRPr="00393E7A">
        <w:rPr>
          <w:lang w:val="en-GB"/>
        </w:rPr>
        <w:t xml:space="preserve"> - United Nations</w:t>
      </w:r>
    </w:p>
    <w:p w:rsidR="00F52A7B" w:rsidRPr="00393E7A" w:rsidRDefault="00F52A7B" w:rsidP="00F52A7B">
      <w:pPr>
        <w:autoSpaceDE w:val="0"/>
        <w:jc w:val="both"/>
        <w:rPr>
          <w:lang w:val="en-GB"/>
        </w:rPr>
      </w:pPr>
      <w:r w:rsidRPr="00393E7A">
        <w:rPr>
          <w:b/>
          <w:lang w:val="en-GB"/>
        </w:rPr>
        <w:t xml:space="preserve">UNHCR </w:t>
      </w:r>
      <w:r w:rsidRPr="00393E7A">
        <w:rPr>
          <w:lang w:val="en-GB"/>
        </w:rPr>
        <w:t>- United Nations High Commissioner for Refugees</w:t>
      </w:r>
    </w:p>
    <w:p w:rsidR="00F52A7B" w:rsidRPr="00393E7A" w:rsidRDefault="00F52A7B" w:rsidP="00F52A7B">
      <w:pPr>
        <w:autoSpaceDE w:val="0"/>
        <w:jc w:val="both"/>
        <w:rPr>
          <w:lang w:val="en-GB"/>
        </w:rPr>
      </w:pPr>
      <w:r w:rsidRPr="00393E7A">
        <w:rPr>
          <w:b/>
          <w:lang w:val="en-GB"/>
        </w:rPr>
        <w:t>UNMIK</w:t>
      </w:r>
      <w:r w:rsidRPr="00393E7A">
        <w:rPr>
          <w:lang w:val="en-GB"/>
        </w:rPr>
        <w:t xml:space="preserve"> - United Nations Interim Administration Mission in Kosovo </w:t>
      </w:r>
    </w:p>
    <w:p w:rsidR="00F52A7B" w:rsidRPr="00393E7A" w:rsidRDefault="00F52A7B" w:rsidP="00F52A7B">
      <w:pPr>
        <w:autoSpaceDE w:val="0"/>
        <w:jc w:val="both"/>
        <w:rPr>
          <w:lang w:val="en-GB"/>
        </w:rPr>
      </w:pPr>
      <w:r w:rsidRPr="00393E7A">
        <w:rPr>
          <w:b/>
          <w:lang w:val="en-GB"/>
        </w:rPr>
        <w:t>VRIC</w:t>
      </w:r>
      <w:r w:rsidRPr="00393E7A">
        <w:rPr>
          <w:lang w:val="en-GB"/>
        </w:rPr>
        <w:t xml:space="preserve"> - Victim Recovery and Identification Commission</w:t>
      </w:r>
    </w:p>
    <w:p w:rsidR="00546DB5" w:rsidRPr="001F7985" w:rsidRDefault="00F52A7B">
      <w:pPr>
        <w:autoSpaceDE w:val="0"/>
        <w:jc w:val="both"/>
        <w:rPr>
          <w:lang w:val="en-GB"/>
        </w:rPr>
      </w:pPr>
      <w:r w:rsidRPr="00393E7A">
        <w:rPr>
          <w:b/>
          <w:lang w:val="en-GB"/>
        </w:rPr>
        <w:t xml:space="preserve">WCIU </w:t>
      </w:r>
      <w:r w:rsidRPr="00393E7A">
        <w:rPr>
          <w:lang w:val="en-GB"/>
        </w:rPr>
        <w:t>- War Crimes Investigation Unit</w:t>
      </w:r>
    </w:p>
    <w:sectPr w:rsidR="00546DB5" w:rsidRPr="001F7985" w:rsidSect="00D71217">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5D" w:rsidRDefault="00E87C5D">
      <w:r>
        <w:separator/>
      </w:r>
    </w:p>
  </w:endnote>
  <w:endnote w:type="continuationSeparator" w:id="0">
    <w:p w:rsidR="00E87C5D" w:rsidRDefault="00E8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5D" w:rsidRDefault="00E87C5D">
      <w:r>
        <w:separator/>
      </w:r>
    </w:p>
  </w:footnote>
  <w:footnote w:type="continuationSeparator" w:id="0">
    <w:p w:rsidR="00E87C5D" w:rsidRDefault="00E87C5D">
      <w:r>
        <w:continuationSeparator/>
      </w:r>
    </w:p>
  </w:footnote>
  <w:footnote w:id="1">
    <w:p w:rsidR="00AC35AF" w:rsidRPr="000C1973" w:rsidRDefault="00AC35AF"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AC35AF" w:rsidRPr="001732BF" w:rsidRDefault="00AC35AF"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AC35AF" w:rsidRPr="000835FA" w:rsidRDefault="00AC35AF" w:rsidP="00B71C9E">
      <w:pPr>
        <w:pStyle w:val="FootnoteText"/>
        <w:jc w:val="both"/>
        <w:rPr>
          <w:rFonts w:ascii="Times New Roman" w:hAnsi="Times New Roman"/>
          <w:sz w:val="20"/>
          <w:lang w:val="en-US"/>
        </w:rPr>
      </w:pPr>
      <w:r w:rsidRPr="000835FA">
        <w:rPr>
          <w:rStyle w:val="FootnoteReference"/>
          <w:rFonts w:ascii="Times New Roman" w:hAnsi="Times New Roman"/>
          <w:sz w:val="20"/>
        </w:rPr>
        <w:footnoteRef/>
      </w:r>
      <w:r w:rsidRPr="000835FA">
        <w:rPr>
          <w:rFonts w:ascii="Times New Roman" w:hAnsi="Times New Roman"/>
          <w:sz w:val="20"/>
        </w:rPr>
        <w:t xml:space="preserve"> The OMPF database is not open to public. The Panel accessed it with regard to this case on 15 January 2015.</w:t>
      </w:r>
    </w:p>
  </w:footnote>
  <w:footnote w:id="4">
    <w:p w:rsidR="00AC35AF" w:rsidRPr="000F55DA" w:rsidRDefault="00AC35AF" w:rsidP="00B71C9E">
      <w:pPr>
        <w:pStyle w:val="FootnoteText"/>
        <w:jc w:val="both"/>
        <w:rPr>
          <w:rFonts w:ascii="Times New Roman" w:hAnsi="Times New Roman"/>
          <w:sz w:val="20"/>
        </w:rPr>
      </w:pPr>
      <w:r w:rsidRPr="000835FA">
        <w:rPr>
          <w:rStyle w:val="FootnoteReference"/>
          <w:rFonts w:ascii="Times New Roman" w:hAnsi="Times New Roman"/>
          <w:sz w:val="20"/>
        </w:rPr>
        <w:footnoteRef/>
      </w:r>
      <w:r w:rsidRPr="000835FA">
        <w:rPr>
          <w:rFonts w:ascii="Times New Roman" w:hAnsi="Times New Roman"/>
          <w:sz w:val="20"/>
        </w:rPr>
        <w:t xml:space="preserve"> The ICMP database is available at:  </w:t>
      </w:r>
      <w:hyperlink r:id="rId3" w:history="1">
        <w:r w:rsidRPr="000835FA">
          <w:rPr>
            <w:rStyle w:val="Hyperlink"/>
            <w:rFonts w:ascii="Times New Roman" w:hAnsi="Times New Roman"/>
            <w:color w:val="auto"/>
            <w:sz w:val="20"/>
          </w:rPr>
          <w:t>http://www.ic-mp.org/fdmsweb/index.php?w=mp_details&amp;l=en</w:t>
        </w:r>
      </w:hyperlink>
      <w:r w:rsidRPr="000835FA">
        <w:rPr>
          <w:rFonts w:ascii="Times New Roman" w:hAnsi="Times New Roman"/>
          <w:sz w:val="20"/>
        </w:rPr>
        <w:t xml:space="preserve"> (accessed on 15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AF" w:rsidRPr="000722CE" w:rsidRDefault="00AC35A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BB3BCA">
      <w:rPr>
        <w:noProof/>
        <w:sz w:val="20"/>
        <w:szCs w:val="20"/>
      </w:rPr>
      <w:t>27</w:t>
    </w:r>
    <w:r w:rsidRPr="000722CE">
      <w:rPr>
        <w:sz w:val="20"/>
        <w:szCs w:val="20"/>
      </w:rPr>
      <w:fldChar w:fldCharType="end"/>
    </w:r>
  </w:p>
  <w:p w:rsidR="00AC35AF" w:rsidRDefault="00AC3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DE3650EA"/>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BBB057F"/>
    <w:multiLevelType w:val="hybridMultilevel"/>
    <w:tmpl w:val="CAB64818"/>
    <w:lvl w:ilvl="0" w:tplc="3ECEE246">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7"/>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673"/>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75D"/>
    <w:rsid w:val="00075D74"/>
    <w:rsid w:val="00075FC9"/>
    <w:rsid w:val="00077145"/>
    <w:rsid w:val="00077DE9"/>
    <w:rsid w:val="0008098F"/>
    <w:rsid w:val="0008099B"/>
    <w:rsid w:val="000812D7"/>
    <w:rsid w:val="00082345"/>
    <w:rsid w:val="000835FA"/>
    <w:rsid w:val="00086415"/>
    <w:rsid w:val="000875E1"/>
    <w:rsid w:val="00091C96"/>
    <w:rsid w:val="0009345C"/>
    <w:rsid w:val="000944B0"/>
    <w:rsid w:val="00094FA3"/>
    <w:rsid w:val="000958B3"/>
    <w:rsid w:val="000A21A8"/>
    <w:rsid w:val="000A233E"/>
    <w:rsid w:val="000A4208"/>
    <w:rsid w:val="000A4303"/>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0A44"/>
    <w:rsid w:val="000D1606"/>
    <w:rsid w:val="000D362F"/>
    <w:rsid w:val="000D46DF"/>
    <w:rsid w:val="000D579F"/>
    <w:rsid w:val="000D59E7"/>
    <w:rsid w:val="000D5BCF"/>
    <w:rsid w:val="000E12A4"/>
    <w:rsid w:val="000E23B6"/>
    <w:rsid w:val="000E2956"/>
    <w:rsid w:val="000E2A2A"/>
    <w:rsid w:val="000E59FE"/>
    <w:rsid w:val="000E66F9"/>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4EA9"/>
    <w:rsid w:val="001279D7"/>
    <w:rsid w:val="001300D5"/>
    <w:rsid w:val="00133592"/>
    <w:rsid w:val="001350FB"/>
    <w:rsid w:val="001403C2"/>
    <w:rsid w:val="00140481"/>
    <w:rsid w:val="0014048A"/>
    <w:rsid w:val="0014335B"/>
    <w:rsid w:val="001449C9"/>
    <w:rsid w:val="00144A8B"/>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5DB0"/>
    <w:rsid w:val="00186B18"/>
    <w:rsid w:val="00190271"/>
    <w:rsid w:val="00194191"/>
    <w:rsid w:val="00194800"/>
    <w:rsid w:val="00194D93"/>
    <w:rsid w:val="0019528F"/>
    <w:rsid w:val="00195ECC"/>
    <w:rsid w:val="00197979"/>
    <w:rsid w:val="001A08B0"/>
    <w:rsid w:val="001A4AF8"/>
    <w:rsid w:val="001A57F8"/>
    <w:rsid w:val="001A5F6B"/>
    <w:rsid w:val="001A6816"/>
    <w:rsid w:val="001B155D"/>
    <w:rsid w:val="001B1A1A"/>
    <w:rsid w:val="001B241F"/>
    <w:rsid w:val="001B44B7"/>
    <w:rsid w:val="001B4620"/>
    <w:rsid w:val="001B4F35"/>
    <w:rsid w:val="001B6ABE"/>
    <w:rsid w:val="001B6B46"/>
    <w:rsid w:val="001B768F"/>
    <w:rsid w:val="001B7E46"/>
    <w:rsid w:val="001C0F0F"/>
    <w:rsid w:val="001C2229"/>
    <w:rsid w:val="001C238F"/>
    <w:rsid w:val="001C43C1"/>
    <w:rsid w:val="001C6555"/>
    <w:rsid w:val="001D164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0ED"/>
    <w:rsid w:val="002074D2"/>
    <w:rsid w:val="00207662"/>
    <w:rsid w:val="00207EF6"/>
    <w:rsid w:val="002119C2"/>
    <w:rsid w:val="0021476D"/>
    <w:rsid w:val="002147F2"/>
    <w:rsid w:val="00215EA8"/>
    <w:rsid w:val="002209BE"/>
    <w:rsid w:val="00222D2F"/>
    <w:rsid w:val="00225BAB"/>
    <w:rsid w:val="002274C0"/>
    <w:rsid w:val="00231A61"/>
    <w:rsid w:val="00231EE6"/>
    <w:rsid w:val="002325A9"/>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6B1E"/>
    <w:rsid w:val="00267300"/>
    <w:rsid w:val="0027204F"/>
    <w:rsid w:val="00273478"/>
    <w:rsid w:val="002737ED"/>
    <w:rsid w:val="002745CF"/>
    <w:rsid w:val="00275342"/>
    <w:rsid w:val="00275457"/>
    <w:rsid w:val="002758B9"/>
    <w:rsid w:val="0027689B"/>
    <w:rsid w:val="00276E5E"/>
    <w:rsid w:val="00277157"/>
    <w:rsid w:val="0028109E"/>
    <w:rsid w:val="002816FF"/>
    <w:rsid w:val="00281FB3"/>
    <w:rsid w:val="00284A77"/>
    <w:rsid w:val="00285F55"/>
    <w:rsid w:val="0028685C"/>
    <w:rsid w:val="00287CA7"/>
    <w:rsid w:val="00291D60"/>
    <w:rsid w:val="00294415"/>
    <w:rsid w:val="002948A6"/>
    <w:rsid w:val="00296C0B"/>
    <w:rsid w:val="00296DF3"/>
    <w:rsid w:val="002A046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2D4"/>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57A74"/>
    <w:rsid w:val="003605F6"/>
    <w:rsid w:val="00360A49"/>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0AA7"/>
    <w:rsid w:val="003819AD"/>
    <w:rsid w:val="003837C8"/>
    <w:rsid w:val="00385A0E"/>
    <w:rsid w:val="00385EAF"/>
    <w:rsid w:val="003905A1"/>
    <w:rsid w:val="00390AE0"/>
    <w:rsid w:val="003931B9"/>
    <w:rsid w:val="0039337A"/>
    <w:rsid w:val="003936AC"/>
    <w:rsid w:val="00393E7A"/>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041"/>
    <w:rsid w:val="00402699"/>
    <w:rsid w:val="00402B8F"/>
    <w:rsid w:val="004033CB"/>
    <w:rsid w:val="00405334"/>
    <w:rsid w:val="00405C17"/>
    <w:rsid w:val="0041262D"/>
    <w:rsid w:val="00414BA2"/>
    <w:rsid w:val="00420088"/>
    <w:rsid w:val="004202B2"/>
    <w:rsid w:val="004216E2"/>
    <w:rsid w:val="00422729"/>
    <w:rsid w:val="00423598"/>
    <w:rsid w:val="0042549A"/>
    <w:rsid w:val="00427A31"/>
    <w:rsid w:val="0043016C"/>
    <w:rsid w:val="00430BBE"/>
    <w:rsid w:val="00430D9E"/>
    <w:rsid w:val="004311D9"/>
    <w:rsid w:val="00431AF1"/>
    <w:rsid w:val="00433154"/>
    <w:rsid w:val="0043400E"/>
    <w:rsid w:val="00434BB6"/>
    <w:rsid w:val="0043575D"/>
    <w:rsid w:val="00440903"/>
    <w:rsid w:val="00440E88"/>
    <w:rsid w:val="0044246C"/>
    <w:rsid w:val="00443568"/>
    <w:rsid w:val="00445EAD"/>
    <w:rsid w:val="0044617E"/>
    <w:rsid w:val="00452920"/>
    <w:rsid w:val="004534C4"/>
    <w:rsid w:val="00455594"/>
    <w:rsid w:val="0045684F"/>
    <w:rsid w:val="00456871"/>
    <w:rsid w:val="00461097"/>
    <w:rsid w:val="00466DCF"/>
    <w:rsid w:val="00466E32"/>
    <w:rsid w:val="004714D9"/>
    <w:rsid w:val="00472580"/>
    <w:rsid w:val="00472DFF"/>
    <w:rsid w:val="00473041"/>
    <w:rsid w:val="00474109"/>
    <w:rsid w:val="004746C1"/>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11DC"/>
    <w:rsid w:val="004B394B"/>
    <w:rsid w:val="004B426D"/>
    <w:rsid w:val="004B5E0A"/>
    <w:rsid w:val="004B627D"/>
    <w:rsid w:val="004B698B"/>
    <w:rsid w:val="004B7B66"/>
    <w:rsid w:val="004B7D5D"/>
    <w:rsid w:val="004C0211"/>
    <w:rsid w:val="004C104C"/>
    <w:rsid w:val="004C4BD7"/>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1709"/>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625F"/>
    <w:rsid w:val="00576B13"/>
    <w:rsid w:val="00577877"/>
    <w:rsid w:val="005779F4"/>
    <w:rsid w:val="005802A4"/>
    <w:rsid w:val="00580C37"/>
    <w:rsid w:val="00581378"/>
    <w:rsid w:val="0058249E"/>
    <w:rsid w:val="0058307C"/>
    <w:rsid w:val="005836D4"/>
    <w:rsid w:val="00584113"/>
    <w:rsid w:val="00590DAC"/>
    <w:rsid w:val="0059175C"/>
    <w:rsid w:val="005917EC"/>
    <w:rsid w:val="00593DF8"/>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5A4B"/>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426C"/>
    <w:rsid w:val="00605915"/>
    <w:rsid w:val="00606C3D"/>
    <w:rsid w:val="00606E42"/>
    <w:rsid w:val="006111E0"/>
    <w:rsid w:val="00612698"/>
    <w:rsid w:val="00612EEF"/>
    <w:rsid w:val="00616A11"/>
    <w:rsid w:val="00617352"/>
    <w:rsid w:val="006205AF"/>
    <w:rsid w:val="00621EDB"/>
    <w:rsid w:val="00622236"/>
    <w:rsid w:val="0062454F"/>
    <w:rsid w:val="00626D88"/>
    <w:rsid w:val="00627BF9"/>
    <w:rsid w:val="00627C8E"/>
    <w:rsid w:val="0063039E"/>
    <w:rsid w:val="00630EB9"/>
    <w:rsid w:val="006366D0"/>
    <w:rsid w:val="00640576"/>
    <w:rsid w:val="00640645"/>
    <w:rsid w:val="00643780"/>
    <w:rsid w:val="00643C1A"/>
    <w:rsid w:val="00645CFD"/>
    <w:rsid w:val="00645FDE"/>
    <w:rsid w:val="00646CA4"/>
    <w:rsid w:val="00647569"/>
    <w:rsid w:val="006475BB"/>
    <w:rsid w:val="00647FB1"/>
    <w:rsid w:val="00653ED0"/>
    <w:rsid w:val="00654840"/>
    <w:rsid w:val="0065509D"/>
    <w:rsid w:val="006552EA"/>
    <w:rsid w:val="00657746"/>
    <w:rsid w:val="006578FA"/>
    <w:rsid w:val="00660FE2"/>
    <w:rsid w:val="00661955"/>
    <w:rsid w:val="00666D9E"/>
    <w:rsid w:val="006719B3"/>
    <w:rsid w:val="006721DE"/>
    <w:rsid w:val="006727E3"/>
    <w:rsid w:val="00672847"/>
    <w:rsid w:val="00672EBE"/>
    <w:rsid w:val="00674101"/>
    <w:rsid w:val="00674C30"/>
    <w:rsid w:val="00675375"/>
    <w:rsid w:val="00675587"/>
    <w:rsid w:val="00675D3B"/>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0D0"/>
    <w:rsid w:val="006A09FC"/>
    <w:rsid w:val="006A1710"/>
    <w:rsid w:val="006A2CDF"/>
    <w:rsid w:val="006A6191"/>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149"/>
    <w:rsid w:val="006D4B5A"/>
    <w:rsid w:val="006D56A5"/>
    <w:rsid w:val="006D7BF7"/>
    <w:rsid w:val="006D7EF2"/>
    <w:rsid w:val="006E04B1"/>
    <w:rsid w:val="006E0A93"/>
    <w:rsid w:val="006E22BD"/>
    <w:rsid w:val="006E22C0"/>
    <w:rsid w:val="006E2940"/>
    <w:rsid w:val="006E2B68"/>
    <w:rsid w:val="006E39D3"/>
    <w:rsid w:val="006E50B2"/>
    <w:rsid w:val="006E61AD"/>
    <w:rsid w:val="006E6458"/>
    <w:rsid w:val="006E6658"/>
    <w:rsid w:val="006E688C"/>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4212"/>
    <w:rsid w:val="00717451"/>
    <w:rsid w:val="00717EFD"/>
    <w:rsid w:val="00722152"/>
    <w:rsid w:val="007226EA"/>
    <w:rsid w:val="0072411F"/>
    <w:rsid w:val="00724AC2"/>
    <w:rsid w:val="00724F0F"/>
    <w:rsid w:val="007262D2"/>
    <w:rsid w:val="007268E7"/>
    <w:rsid w:val="007269BF"/>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169"/>
    <w:rsid w:val="0080361B"/>
    <w:rsid w:val="00803953"/>
    <w:rsid w:val="00806DE7"/>
    <w:rsid w:val="0080739D"/>
    <w:rsid w:val="00807460"/>
    <w:rsid w:val="0080746A"/>
    <w:rsid w:val="00810AF7"/>
    <w:rsid w:val="00810D7A"/>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2DDB"/>
    <w:rsid w:val="0086321C"/>
    <w:rsid w:val="008637CF"/>
    <w:rsid w:val="00865396"/>
    <w:rsid w:val="00865513"/>
    <w:rsid w:val="008655B9"/>
    <w:rsid w:val="008658D2"/>
    <w:rsid w:val="008675D4"/>
    <w:rsid w:val="0087266C"/>
    <w:rsid w:val="008726F1"/>
    <w:rsid w:val="00872B8A"/>
    <w:rsid w:val="00872E4B"/>
    <w:rsid w:val="00873573"/>
    <w:rsid w:val="0087511F"/>
    <w:rsid w:val="00875732"/>
    <w:rsid w:val="00876521"/>
    <w:rsid w:val="008766C9"/>
    <w:rsid w:val="0088164D"/>
    <w:rsid w:val="00882198"/>
    <w:rsid w:val="00882D6D"/>
    <w:rsid w:val="00884825"/>
    <w:rsid w:val="00884D10"/>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20B9"/>
    <w:rsid w:val="008E3F48"/>
    <w:rsid w:val="008E4C8E"/>
    <w:rsid w:val="008E61A6"/>
    <w:rsid w:val="008E71FD"/>
    <w:rsid w:val="008F03DC"/>
    <w:rsid w:val="008F147E"/>
    <w:rsid w:val="008F155C"/>
    <w:rsid w:val="008F2AA2"/>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40FE"/>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26B9"/>
    <w:rsid w:val="00952774"/>
    <w:rsid w:val="009543CC"/>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10A"/>
    <w:rsid w:val="009917D2"/>
    <w:rsid w:val="00991C5A"/>
    <w:rsid w:val="009927FB"/>
    <w:rsid w:val="00994207"/>
    <w:rsid w:val="00994262"/>
    <w:rsid w:val="009946E6"/>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561"/>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3AF"/>
    <w:rsid w:val="009F6CF5"/>
    <w:rsid w:val="009F7E59"/>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32A"/>
    <w:rsid w:val="00A477BD"/>
    <w:rsid w:val="00A47B30"/>
    <w:rsid w:val="00A51E90"/>
    <w:rsid w:val="00A533F3"/>
    <w:rsid w:val="00A5380D"/>
    <w:rsid w:val="00A5402E"/>
    <w:rsid w:val="00A549B8"/>
    <w:rsid w:val="00A6154B"/>
    <w:rsid w:val="00A61E60"/>
    <w:rsid w:val="00A62A15"/>
    <w:rsid w:val="00A62C6D"/>
    <w:rsid w:val="00A63E76"/>
    <w:rsid w:val="00A64166"/>
    <w:rsid w:val="00A66705"/>
    <w:rsid w:val="00A67319"/>
    <w:rsid w:val="00A673B2"/>
    <w:rsid w:val="00A67D9F"/>
    <w:rsid w:val="00A70D0F"/>
    <w:rsid w:val="00A73A2A"/>
    <w:rsid w:val="00A73D67"/>
    <w:rsid w:val="00A80C08"/>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35AF"/>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3C85"/>
    <w:rsid w:val="00AF457A"/>
    <w:rsid w:val="00AF482D"/>
    <w:rsid w:val="00AF51AB"/>
    <w:rsid w:val="00AF6CCA"/>
    <w:rsid w:val="00AF73E9"/>
    <w:rsid w:val="00B012D0"/>
    <w:rsid w:val="00B015CC"/>
    <w:rsid w:val="00B02218"/>
    <w:rsid w:val="00B06DCA"/>
    <w:rsid w:val="00B07154"/>
    <w:rsid w:val="00B07C8E"/>
    <w:rsid w:val="00B07D4E"/>
    <w:rsid w:val="00B11113"/>
    <w:rsid w:val="00B125A8"/>
    <w:rsid w:val="00B15C3A"/>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0624"/>
    <w:rsid w:val="00B51D8A"/>
    <w:rsid w:val="00B53FEB"/>
    <w:rsid w:val="00B56986"/>
    <w:rsid w:val="00B56BF9"/>
    <w:rsid w:val="00B60541"/>
    <w:rsid w:val="00B63490"/>
    <w:rsid w:val="00B645A8"/>
    <w:rsid w:val="00B66BBF"/>
    <w:rsid w:val="00B6742D"/>
    <w:rsid w:val="00B71C9E"/>
    <w:rsid w:val="00B724DF"/>
    <w:rsid w:val="00B726FC"/>
    <w:rsid w:val="00B7270F"/>
    <w:rsid w:val="00B76005"/>
    <w:rsid w:val="00B775C7"/>
    <w:rsid w:val="00B77C87"/>
    <w:rsid w:val="00B804B9"/>
    <w:rsid w:val="00B80FC3"/>
    <w:rsid w:val="00B815D4"/>
    <w:rsid w:val="00B8203E"/>
    <w:rsid w:val="00B83278"/>
    <w:rsid w:val="00B83B58"/>
    <w:rsid w:val="00B85CE4"/>
    <w:rsid w:val="00B86977"/>
    <w:rsid w:val="00B86E45"/>
    <w:rsid w:val="00B87538"/>
    <w:rsid w:val="00B92495"/>
    <w:rsid w:val="00B930D1"/>
    <w:rsid w:val="00B97C80"/>
    <w:rsid w:val="00BA0F5B"/>
    <w:rsid w:val="00BA1DDB"/>
    <w:rsid w:val="00BA2D7C"/>
    <w:rsid w:val="00BA65B2"/>
    <w:rsid w:val="00BB0B51"/>
    <w:rsid w:val="00BB1081"/>
    <w:rsid w:val="00BB18A5"/>
    <w:rsid w:val="00BB3BCA"/>
    <w:rsid w:val="00BB5328"/>
    <w:rsid w:val="00BB6721"/>
    <w:rsid w:val="00BB6D67"/>
    <w:rsid w:val="00BC4DA7"/>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07C34"/>
    <w:rsid w:val="00C127DC"/>
    <w:rsid w:val="00C13219"/>
    <w:rsid w:val="00C1350C"/>
    <w:rsid w:val="00C13A74"/>
    <w:rsid w:val="00C13FB0"/>
    <w:rsid w:val="00C20453"/>
    <w:rsid w:val="00C221F8"/>
    <w:rsid w:val="00C2264B"/>
    <w:rsid w:val="00C2375C"/>
    <w:rsid w:val="00C2428D"/>
    <w:rsid w:val="00C26546"/>
    <w:rsid w:val="00C31A87"/>
    <w:rsid w:val="00C320AE"/>
    <w:rsid w:val="00C329A3"/>
    <w:rsid w:val="00C338CE"/>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5102"/>
    <w:rsid w:val="00CA55BA"/>
    <w:rsid w:val="00CA646D"/>
    <w:rsid w:val="00CA6D64"/>
    <w:rsid w:val="00CA77AB"/>
    <w:rsid w:val="00CB0C30"/>
    <w:rsid w:val="00CB0EAA"/>
    <w:rsid w:val="00CB1306"/>
    <w:rsid w:val="00CB2DE1"/>
    <w:rsid w:val="00CB34A0"/>
    <w:rsid w:val="00CB50DF"/>
    <w:rsid w:val="00CB6245"/>
    <w:rsid w:val="00CB6545"/>
    <w:rsid w:val="00CC223C"/>
    <w:rsid w:val="00CC2755"/>
    <w:rsid w:val="00CC51DA"/>
    <w:rsid w:val="00CC6B19"/>
    <w:rsid w:val="00CC7126"/>
    <w:rsid w:val="00CC7B53"/>
    <w:rsid w:val="00CD39BE"/>
    <w:rsid w:val="00CD3EBE"/>
    <w:rsid w:val="00CD43B3"/>
    <w:rsid w:val="00CD43C8"/>
    <w:rsid w:val="00CD4993"/>
    <w:rsid w:val="00CD6312"/>
    <w:rsid w:val="00CD6D04"/>
    <w:rsid w:val="00CD6EFB"/>
    <w:rsid w:val="00CD7BC0"/>
    <w:rsid w:val="00CE030B"/>
    <w:rsid w:val="00CE1148"/>
    <w:rsid w:val="00CE17B7"/>
    <w:rsid w:val="00CE1874"/>
    <w:rsid w:val="00CE1F33"/>
    <w:rsid w:val="00CE355C"/>
    <w:rsid w:val="00CE3CAC"/>
    <w:rsid w:val="00CE4137"/>
    <w:rsid w:val="00CE437F"/>
    <w:rsid w:val="00CE4484"/>
    <w:rsid w:val="00CE5788"/>
    <w:rsid w:val="00CF45E9"/>
    <w:rsid w:val="00CF4DD4"/>
    <w:rsid w:val="00CF563C"/>
    <w:rsid w:val="00CF7241"/>
    <w:rsid w:val="00D01AD3"/>
    <w:rsid w:val="00D0220B"/>
    <w:rsid w:val="00D057AF"/>
    <w:rsid w:val="00D05FAB"/>
    <w:rsid w:val="00D07CE3"/>
    <w:rsid w:val="00D10BD5"/>
    <w:rsid w:val="00D112F1"/>
    <w:rsid w:val="00D12979"/>
    <w:rsid w:val="00D142E8"/>
    <w:rsid w:val="00D145C3"/>
    <w:rsid w:val="00D14D16"/>
    <w:rsid w:val="00D15BA1"/>
    <w:rsid w:val="00D16041"/>
    <w:rsid w:val="00D21BB0"/>
    <w:rsid w:val="00D225E7"/>
    <w:rsid w:val="00D23B40"/>
    <w:rsid w:val="00D23CC6"/>
    <w:rsid w:val="00D242DC"/>
    <w:rsid w:val="00D25E20"/>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357B"/>
    <w:rsid w:val="00D54098"/>
    <w:rsid w:val="00D5673C"/>
    <w:rsid w:val="00D57D31"/>
    <w:rsid w:val="00D608AD"/>
    <w:rsid w:val="00D62874"/>
    <w:rsid w:val="00D63E39"/>
    <w:rsid w:val="00D640F7"/>
    <w:rsid w:val="00D64ACA"/>
    <w:rsid w:val="00D65E11"/>
    <w:rsid w:val="00D679B8"/>
    <w:rsid w:val="00D701E0"/>
    <w:rsid w:val="00D70475"/>
    <w:rsid w:val="00D705B2"/>
    <w:rsid w:val="00D70702"/>
    <w:rsid w:val="00D7091A"/>
    <w:rsid w:val="00D71217"/>
    <w:rsid w:val="00D72022"/>
    <w:rsid w:val="00D72ED5"/>
    <w:rsid w:val="00D7394E"/>
    <w:rsid w:val="00D73B1D"/>
    <w:rsid w:val="00D746BC"/>
    <w:rsid w:val="00D75560"/>
    <w:rsid w:val="00D76B47"/>
    <w:rsid w:val="00D76CDF"/>
    <w:rsid w:val="00D80D13"/>
    <w:rsid w:val="00D8354F"/>
    <w:rsid w:val="00D84021"/>
    <w:rsid w:val="00D848CA"/>
    <w:rsid w:val="00D8534B"/>
    <w:rsid w:val="00D85B39"/>
    <w:rsid w:val="00D876B6"/>
    <w:rsid w:val="00D87DE2"/>
    <w:rsid w:val="00D90EE2"/>
    <w:rsid w:val="00D9429B"/>
    <w:rsid w:val="00D972B7"/>
    <w:rsid w:val="00DA1C65"/>
    <w:rsid w:val="00DA40CA"/>
    <w:rsid w:val="00DA4E09"/>
    <w:rsid w:val="00DA6731"/>
    <w:rsid w:val="00DA770F"/>
    <w:rsid w:val="00DA7FBF"/>
    <w:rsid w:val="00DB0F35"/>
    <w:rsid w:val="00DB3628"/>
    <w:rsid w:val="00DB53A9"/>
    <w:rsid w:val="00DB6266"/>
    <w:rsid w:val="00DB77A0"/>
    <w:rsid w:val="00DB7B75"/>
    <w:rsid w:val="00DC138E"/>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1EBA"/>
    <w:rsid w:val="00E130C1"/>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706B"/>
    <w:rsid w:val="00E67FC2"/>
    <w:rsid w:val="00E7030E"/>
    <w:rsid w:val="00E72180"/>
    <w:rsid w:val="00E74C85"/>
    <w:rsid w:val="00E75490"/>
    <w:rsid w:val="00E7633D"/>
    <w:rsid w:val="00E764CC"/>
    <w:rsid w:val="00E77371"/>
    <w:rsid w:val="00E77C72"/>
    <w:rsid w:val="00E81C89"/>
    <w:rsid w:val="00E825C6"/>
    <w:rsid w:val="00E84691"/>
    <w:rsid w:val="00E850EE"/>
    <w:rsid w:val="00E85EAC"/>
    <w:rsid w:val="00E87C5D"/>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1CD9"/>
    <w:rsid w:val="00EC1DE4"/>
    <w:rsid w:val="00EC2005"/>
    <w:rsid w:val="00EC2041"/>
    <w:rsid w:val="00EC286D"/>
    <w:rsid w:val="00EC320F"/>
    <w:rsid w:val="00EC3CA8"/>
    <w:rsid w:val="00EC4826"/>
    <w:rsid w:val="00EC4F48"/>
    <w:rsid w:val="00EC5260"/>
    <w:rsid w:val="00EC5791"/>
    <w:rsid w:val="00ED0A8D"/>
    <w:rsid w:val="00ED14E7"/>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6600"/>
    <w:rsid w:val="00EF6F9F"/>
    <w:rsid w:val="00EF712C"/>
    <w:rsid w:val="00F00AB2"/>
    <w:rsid w:val="00F01237"/>
    <w:rsid w:val="00F0164D"/>
    <w:rsid w:val="00F025DE"/>
    <w:rsid w:val="00F02650"/>
    <w:rsid w:val="00F02813"/>
    <w:rsid w:val="00F03196"/>
    <w:rsid w:val="00F034CA"/>
    <w:rsid w:val="00F03C66"/>
    <w:rsid w:val="00F04E90"/>
    <w:rsid w:val="00F0645F"/>
    <w:rsid w:val="00F06B06"/>
    <w:rsid w:val="00F0719F"/>
    <w:rsid w:val="00F0758D"/>
    <w:rsid w:val="00F10242"/>
    <w:rsid w:val="00F108AC"/>
    <w:rsid w:val="00F11EDC"/>
    <w:rsid w:val="00F12F42"/>
    <w:rsid w:val="00F13DE4"/>
    <w:rsid w:val="00F16550"/>
    <w:rsid w:val="00F17A33"/>
    <w:rsid w:val="00F21A8A"/>
    <w:rsid w:val="00F274A2"/>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0DB"/>
    <w:rsid w:val="00F618C6"/>
    <w:rsid w:val="00F62819"/>
    <w:rsid w:val="00F64C08"/>
    <w:rsid w:val="00F670D2"/>
    <w:rsid w:val="00F713C4"/>
    <w:rsid w:val="00F758A0"/>
    <w:rsid w:val="00F76A72"/>
    <w:rsid w:val="00F77EED"/>
    <w:rsid w:val="00F8023E"/>
    <w:rsid w:val="00F8291D"/>
    <w:rsid w:val="00F831A4"/>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E5CF6"/>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1B6ABE"/>
    <w:pPr>
      <w:spacing w:after="120" w:line="480" w:lineRule="auto"/>
    </w:pPr>
  </w:style>
  <w:style w:type="character" w:customStyle="1" w:styleId="BodyText2Char">
    <w:name w:val="Body Text 2 Char"/>
    <w:basedOn w:val="DefaultParagraphFont"/>
    <w:link w:val="BodyText2"/>
    <w:rsid w:val="001B6A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1B6ABE"/>
    <w:pPr>
      <w:spacing w:after="120" w:line="480" w:lineRule="auto"/>
    </w:pPr>
  </w:style>
  <w:style w:type="character" w:customStyle="1" w:styleId="BodyText2Char">
    <w:name w:val="Body Text 2 Char"/>
    <w:basedOn w:val="DefaultParagraphFont"/>
    <w:link w:val="BodyText2"/>
    <w:rsid w:val="001B6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598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8385">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57677114">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48727827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53438620">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455214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KUZMANOVIĆ, Biljana</Reference>
    <Case_x0020_Year xmlns="63130c8a-8d1f-4e28-8ee3-43603ca9ef3b">2009</Case_x0020_Year>
    <Case_x0020_Status xmlns="16f2acb5-7363-4076-9084-069fc3bb4325">CASE CLOSED</Case_x0020_Status>
    <Date_x0020_of_x0020_Adoption xmlns="16f2acb5-7363-4076-9084-069fc3bb4325">2015-01-20T23:00:00+00:00</Date_x0020_of_x0020_Adoption>
    <Case_x0020_Number xmlns="16f2acb5-7363-4076-9084-069fc3bb4325">262/09</Case_x0020_Number>
    <Type_x0020_of_x0020_Document xmlns="16f2acb5-7363-4076-9084-069fc3bb4325">Opinion</Type_x0020_of_x0020_Document>
    <_dlc_DocId xmlns="b9fab99d-1571-47f6-8995-3a195ef041f8">M5JDUUKXSQ5W-25-1077</_dlc_DocId>
    <_dlc_DocIdUrl xmlns="b9fab99d-1571-47f6-8995-3a195ef041f8">
      <Url>http://www.unmikonline.org/hrap/Eng/_layouts/DocIdRedir.aspx?ID=M5JDUUKXSQ5W-25-1077</Url>
      <Description>M5JDUUKXSQ5W-25-1077</Description>
    </_dlc_DocIdUrl>
  </documentManagement>
</p:properties>
</file>

<file path=customXml/itemProps1.xml><?xml version="1.0" encoding="utf-8"?>
<ds:datastoreItem xmlns:ds="http://schemas.openxmlformats.org/officeDocument/2006/customXml" ds:itemID="{3104E902-0B10-4CCD-A339-BFAD64F028F3}"/>
</file>

<file path=customXml/itemProps2.xml><?xml version="1.0" encoding="utf-8"?>
<ds:datastoreItem xmlns:ds="http://schemas.openxmlformats.org/officeDocument/2006/customXml" ds:itemID="{C6F6DDB6-4425-41C4-A3AE-BFF765E9F413}"/>
</file>

<file path=customXml/itemProps3.xml><?xml version="1.0" encoding="utf-8"?>
<ds:datastoreItem xmlns:ds="http://schemas.openxmlformats.org/officeDocument/2006/customXml" ds:itemID="{76464D39-E79C-49D8-A705-79453C561CDA}"/>
</file>

<file path=customXml/itemProps4.xml><?xml version="1.0" encoding="utf-8"?>
<ds:datastoreItem xmlns:ds="http://schemas.openxmlformats.org/officeDocument/2006/customXml" ds:itemID="{87FEE5DD-6F9F-4000-BC5C-714EA3689D96}"/>
</file>

<file path=customXml/itemProps5.xml><?xml version="1.0" encoding="utf-8"?>
<ds:datastoreItem xmlns:ds="http://schemas.openxmlformats.org/officeDocument/2006/customXml" ds:itemID="{C7EEAE91-2E9D-427D-BF96-96F44EC93296}"/>
</file>

<file path=docProps/app.xml><?xml version="1.0" encoding="utf-8"?>
<Properties xmlns="http://schemas.openxmlformats.org/officeDocument/2006/extended-properties" xmlns:vt="http://schemas.openxmlformats.org/officeDocument/2006/docPropsVTypes">
  <Template>Normal</Template>
  <TotalTime>0</TotalTime>
  <Pages>27</Pages>
  <Words>13043</Words>
  <Characters>69709</Characters>
  <Application>Microsoft Office Word</Application>
  <DocSecurity>0</DocSecurity>
  <Lines>580</Lines>
  <Paragraphs>165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82587</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2015-02-24T17:28:00Z</cp:lastPrinted>
  <dcterms:created xsi:type="dcterms:W3CDTF">2015-03-10T11:08:00Z</dcterms:created>
  <dcterms:modified xsi:type="dcterms:W3CDTF">2015-03-10T11:08:00Z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6d905fde-f161-4bc5-8f09-d1840e3a8a4b</vt:lpwstr>
  </property>
</Properties>
</file>